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045" w:rsidRPr="004C757E" w:rsidRDefault="00B65045" w:rsidP="00B6504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bookmarkStart w:id="0" w:name="_GoBack"/>
      <w:bookmarkEnd w:id="0"/>
      <w:r w:rsidRPr="004C757E">
        <w:rPr>
          <w:rFonts w:ascii="Arial" w:hAnsi="Arial" w:cs="Arial"/>
          <w:b/>
          <w:color w:val="000000" w:themeColor="text1"/>
          <w:sz w:val="21"/>
          <w:szCs w:val="21"/>
        </w:rPr>
        <w:t>Preguntas guía para las áreas enfocadas de la X Sesión del Grupo de Trabajo de Composición Abierta sobre el Envejecimiento.</w:t>
      </w:r>
    </w:p>
    <w:p w:rsidR="00B65045" w:rsidRPr="004C757E" w:rsidRDefault="00B65045" w:rsidP="00B6504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:rsidR="00B65045" w:rsidRPr="004C757E" w:rsidRDefault="00B65045" w:rsidP="00B65045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C757E">
        <w:rPr>
          <w:rFonts w:ascii="Arial" w:hAnsi="Arial" w:cs="Arial"/>
          <w:b/>
          <w:color w:val="000000" w:themeColor="text1"/>
          <w:sz w:val="21"/>
          <w:szCs w:val="21"/>
        </w:rPr>
        <w:t>Tema 1. Educación, formación, aprendizaje permanente y creación de capacidades.</w:t>
      </w:r>
      <w:r w:rsidRPr="004C757E">
        <w:rPr>
          <w:rFonts w:ascii="Arial" w:hAnsi="Arial" w:cs="Arial"/>
          <w:b/>
          <w:color w:val="000000" w:themeColor="text1"/>
          <w:sz w:val="21"/>
          <w:szCs w:val="21"/>
        </w:rPr>
        <w:br/>
      </w:r>
    </w:p>
    <w:p w:rsidR="00B65045" w:rsidRPr="004C757E" w:rsidRDefault="00B65045" w:rsidP="00B65045">
      <w:pPr>
        <w:spacing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Marco legal nacional</w:t>
      </w:r>
    </w:p>
    <w:p w:rsidR="00B65045" w:rsidRPr="004C757E" w:rsidRDefault="008416B6" w:rsidP="008416B6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 xml:space="preserve">1. </w:t>
      </w:r>
      <w:r w:rsidR="00B65045" w:rsidRPr="004C757E">
        <w:rPr>
          <w:rFonts w:ascii="Arial" w:hAnsi="Arial" w:cs="Arial"/>
          <w:b/>
          <w:sz w:val="21"/>
          <w:szCs w:val="21"/>
        </w:rPr>
        <w:t xml:space="preserve">En su país/región, ¿cómo se garantiza el derecho a la educación, la capacitación, el aprendizaje a lo largo de toda la vida y el desarrollo de capacidades en la edad avanzada, en los marcos legales y qué políticas existen? </w:t>
      </w:r>
    </w:p>
    <w:p w:rsidR="00B65045" w:rsidRPr="004C757E" w:rsidRDefault="00B65045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sz w:val="21"/>
          <w:szCs w:val="21"/>
        </w:rPr>
        <w:t>La Constitución Política de los Estados Unidos Mexicanos</w:t>
      </w:r>
      <w:r w:rsidR="00376BAF" w:rsidRPr="004C757E">
        <w:rPr>
          <w:rFonts w:ascii="Arial" w:hAnsi="Arial" w:cs="Arial"/>
          <w:sz w:val="21"/>
          <w:szCs w:val="21"/>
        </w:rPr>
        <w:t xml:space="preserve"> (CPEUM)</w:t>
      </w:r>
      <w:r w:rsidRPr="004C757E">
        <w:rPr>
          <w:rFonts w:ascii="Arial" w:hAnsi="Arial" w:cs="Arial"/>
          <w:sz w:val="21"/>
          <w:szCs w:val="21"/>
        </w:rPr>
        <w:t xml:space="preserve"> en su artículo 3º reconoce a todas las personas el derecho a la educación de calidad, y establece que el Estado el Estado promoverá y atenderá todos los tipos y modalidades educativos necesarios para el desarrollo de la nación (fracción V, inciso d).</w:t>
      </w:r>
    </w:p>
    <w:p w:rsidR="00B65045" w:rsidRPr="004C757E" w:rsidRDefault="00B65045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sz w:val="21"/>
          <w:szCs w:val="21"/>
        </w:rPr>
        <w:t xml:space="preserve">El artículo 39 de La Ley General de Educación (LGE) establece que el sistema educativo nacional comprende -entre otras modalidades- la educación para adultos, la cual se dirige a las personas de 15 años en adelante quienes no hayan cursado o concluido la educación básica (primaria y secundaria). Ésta se presta a través de servicios de alfabetización, educación primaria y secundaria, así como de formación para el trabajo cuyo objetivo es la adquisición de conocimientos, habilidades o destrezas para desarrollar una actividad productiva demandada en el mercado, la cual debe incluir a las personas con discapacidad (Art. 43 LGE).  </w:t>
      </w:r>
    </w:p>
    <w:p w:rsidR="004C757E" w:rsidRPr="004C757E" w:rsidRDefault="00376BAF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sz w:val="21"/>
          <w:szCs w:val="21"/>
        </w:rPr>
        <w:t>E</w:t>
      </w:r>
      <w:r w:rsidR="00B65045" w:rsidRPr="004C757E">
        <w:rPr>
          <w:rFonts w:ascii="Arial" w:hAnsi="Arial" w:cs="Arial"/>
          <w:sz w:val="21"/>
          <w:szCs w:val="21"/>
        </w:rPr>
        <w:t>n 1981 se creó el Instituto Nacional para la Educación de los Adultos (INEA),</w:t>
      </w:r>
      <w:r w:rsidR="004C757E" w:rsidRPr="004C757E">
        <w:rPr>
          <w:rStyle w:val="Refdenotaalfinal"/>
          <w:rFonts w:ascii="Arial" w:hAnsi="Arial" w:cs="Arial"/>
          <w:sz w:val="21"/>
          <w:szCs w:val="21"/>
        </w:rPr>
        <w:endnoteReference w:id="1"/>
      </w:r>
      <w:r w:rsidR="004C757E" w:rsidRPr="004C757E">
        <w:rPr>
          <w:rFonts w:ascii="Arial" w:hAnsi="Arial" w:cs="Arial"/>
          <w:sz w:val="21"/>
          <w:szCs w:val="21"/>
        </w:rPr>
        <w:t xml:space="preserve"> organismo cuyo objetivo es promover, organizar e impartir la educación básica para personas de 15 años en adelante. </w:t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sz w:val="21"/>
          <w:szCs w:val="21"/>
        </w:rPr>
        <w:t>La Ley de los Derechos de las Personas Adultas Mayores (LDPAM), reconoce su derecho preferente a recibir educación (Art. 5, fracción IV), y establece que corresponde a la Secretaría de Educación Pública (SEP) garantizar a ese grupo poblacional</w:t>
      </w:r>
      <w:r w:rsidRPr="004C757E">
        <w:rPr>
          <w:rFonts w:ascii="Arial" w:hAnsi="Arial" w:cs="Arial"/>
          <w:b/>
          <w:bCs/>
          <w:sz w:val="21"/>
          <w:szCs w:val="21"/>
        </w:rPr>
        <w:t xml:space="preserve"> </w:t>
      </w:r>
      <w:r w:rsidRPr="004C757E">
        <w:rPr>
          <w:rFonts w:ascii="Arial" w:hAnsi="Arial" w:cs="Arial"/>
          <w:sz w:val="21"/>
          <w:szCs w:val="21"/>
        </w:rPr>
        <w:t xml:space="preserve">el acceso a la educación pública en todos sus niveles y modalidades, así como a cualquier otra actividad que contribuya a su desarrollo intelectual y permita a sus integrantes conservar una actitud de aprendizaje constante, y aprovechar toda oportunidad de educación y capacitación que tienda a su realización personal (Art. 17). La LDPAM establece el derecho de las personas mayores a participar en los procesos productivos, de educación y capacitación de su comunidad (Art. 5º, fracción VII, inciso c.), y estipula que uno de los objetivos de la política pública nacional en la materia debe ser propiciar y fomentar programas especiales de educación y becas de capacitación para el trabajo para su reincorporación a la planta productiva del país y su desarrollo profesional (Art. 10, fracción XV). </w:t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sz w:val="21"/>
          <w:szCs w:val="21"/>
        </w:rPr>
        <w:t>Esa norma también obliga a la Secretaría del Trabajo a impulsar al desarrollo de programas de capacitación para que las personas mayores adquieran conocimientos y destrezas en el campo de formulación y ejecución de proyectos productivos, y la capacitación y financiamiento para autoempleo, a través de becas, talleres familiares, bolsas de trabajo oficiales y particulares (Art. 19, fracciones III y VI).</w:t>
      </w:r>
    </w:p>
    <w:p w:rsid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sz w:val="21"/>
          <w:szCs w:val="21"/>
        </w:rPr>
        <w:t xml:space="preserve">En materia de políticas públicas, el INEA tiene a su cargo el </w:t>
      </w:r>
      <w:r w:rsidRPr="004C757E">
        <w:rPr>
          <w:rFonts w:ascii="Arial" w:hAnsi="Arial" w:cs="Arial"/>
          <w:i/>
          <w:sz w:val="21"/>
          <w:szCs w:val="21"/>
        </w:rPr>
        <w:t>Modelo de Educación para la Vida y el Trabajo</w:t>
      </w:r>
      <w:r w:rsidRPr="004C757E">
        <w:rPr>
          <w:rFonts w:ascii="Arial" w:hAnsi="Arial" w:cs="Arial"/>
          <w:sz w:val="21"/>
          <w:szCs w:val="21"/>
        </w:rPr>
        <w:t xml:space="preserve"> a través del cual las personas pueden cursar en línea la educación primaria y secundaria y obtener su certificado oficial.</w:t>
      </w:r>
      <w:r w:rsidRPr="004C757E">
        <w:rPr>
          <w:rStyle w:val="Refdenotaalfinal"/>
          <w:rFonts w:ascii="Arial" w:hAnsi="Arial" w:cs="Arial"/>
          <w:sz w:val="21"/>
          <w:szCs w:val="21"/>
        </w:rPr>
        <w:endnoteReference w:id="2"/>
      </w:r>
      <w:r w:rsidRPr="004C757E">
        <w:rPr>
          <w:rFonts w:ascii="Arial" w:hAnsi="Arial" w:cs="Arial"/>
          <w:sz w:val="21"/>
          <w:szCs w:val="21"/>
        </w:rPr>
        <w:t xml:space="preserve"> Desde 2015, el INEA trabaja en el desarrollo de un </w:t>
      </w:r>
      <w:r w:rsidRPr="004C757E">
        <w:rPr>
          <w:rFonts w:ascii="Arial" w:hAnsi="Arial" w:cs="Arial"/>
          <w:i/>
          <w:sz w:val="21"/>
          <w:szCs w:val="21"/>
        </w:rPr>
        <w:t>Modelo Educativo para Adultos Mayores</w:t>
      </w:r>
      <w:r w:rsidRPr="004C757E">
        <w:rPr>
          <w:rFonts w:ascii="Arial" w:hAnsi="Arial" w:cs="Arial"/>
          <w:sz w:val="21"/>
          <w:szCs w:val="21"/>
        </w:rPr>
        <w:t xml:space="preserve"> para lo cual conformó un Comité de especialistas integrado por representantes de diversas instituciones, con líneas de trabajo encaminadas a estudios en gerontología, protección social y relaciones familiares.</w:t>
      </w:r>
      <w:r w:rsidRPr="004C757E">
        <w:rPr>
          <w:rStyle w:val="Refdenotaalfinal"/>
          <w:rFonts w:ascii="Arial" w:hAnsi="Arial" w:cs="Arial"/>
          <w:sz w:val="21"/>
          <w:szCs w:val="21"/>
        </w:rPr>
        <w:endnoteReference w:id="3"/>
      </w:r>
      <w:r w:rsidRPr="004C757E">
        <w:rPr>
          <w:rFonts w:ascii="Arial" w:hAnsi="Arial" w:cs="Arial"/>
          <w:sz w:val="21"/>
          <w:szCs w:val="21"/>
        </w:rPr>
        <w:t xml:space="preserve"> A partir de 2016 impulsa el </w:t>
      </w:r>
      <w:r w:rsidRPr="004C757E">
        <w:rPr>
          <w:rFonts w:ascii="Arial" w:hAnsi="Arial" w:cs="Arial"/>
          <w:i/>
          <w:sz w:val="21"/>
          <w:szCs w:val="21"/>
        </w:rPr>
        <w:t>Programa Especial de Certificación con Base en Aprendizajes Adquiridos Equivalentes a Nivel Primaria y Secundaria</w:t>
      </w:r>
      <w:r w:rsidRPr="004C757E">
        <w:rPr>
          <w:rFonts w:ascii="Arial" w:hAnsi="Arial" w:cs="Arial"/>
          <w:sz w:val="21"/>
          <w:szCs w:val="21"/>
        </w:rPr>
        <w:t>,</w:t>
      </w:r>
      <w:r w:rsidRPr="004C757E">
        <w:rPr>
          <w:rStyle w:val="Refdenotaalfinal"/>
          <w:rFonts w:ascii="Arial" w:hAnsi="Arial" w:cs="Arial"/>
          <w:sz w:val="21"/>
          <w:szCs w:val="21"/>
        </w:rPr>
        <w:endnoteReference w:id="4"/>
      </w:r>
      <w:r w:rsidRPr="004C757E">
        <w:rPr>
          <w:rFonts w:ascii="Arial" w:hAnsi="Arial" w:cs="Arial"/>
          <w:sz w:val="21"/>
          <w:szCs w:val="21"/>
        </w:rPr>
        <w:t xml:space="preserve"> mismo que incluye como rubro específico, la atención a personas mayores de 65 años.</w:t>
      </w:r>
    </w:p>
    <w:p w:rsid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:rsid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lastRenderedPageBreak/>
        <w:t>Disponibilidad, accesibilidad y adaptabilidad</w:t>
      </w:r>
    </w:p>
    <w:p w:rsidR="004C757E" w:rsidRPr="004C757E" w:rsidRDefault="004C757E" w:rsidP="00B6504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¿Cuáles son los problemas y desafíos clave que enfrentan las personas mayores en su país/región con respecto al disfrute de todos los niveles de calidad de educación, capacitación, aprendizaje a lo largo de la vida y servicios de desarrollo de capacidades?</w:t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 xml:space="preserve">a) </w:t>
      </w:r>
      <w:r w:rsidRPr="004C757E">
        <w:rPr>
          <w:rFonts w:ascii="Arial" w:hAnsi="Arial" w:cs="Arial"/>
          <w:sz w:val="21"/>
          <w:szCs w:val="21"/>
        </w:rPr>
        <w:t>Pobreza. Cifras del Consejo Nacional de Evaluación de la Política de Desarrollo Social estiman que, en 2016, el 41.1% de la población mayor de 65 años vivía en condiciones de pobreza, de los cuales, 34.6% sufrían pobreza moderada y 6.6% pobreza extrema. Asimismo, el 68.4% presentaba al menos de una carencia social, siendo la más importante, el rezago educativo (57.1%).</w:t>
      </w:r>
      <w:r w:rsidRPr="004C757E">
        <w:rPr>
          <w:rStyle w:val="Refdenotaalfinal"/>
          <w:rFonts w:ascii="Arial" w:hAnsi="Arial" w:cs="Arial"/>
          <w:sz w:val="21"/>
          <w:szCs w:val="21"/>
        </w:rPr>
        <w:endnoteReference w:id="5"/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 xml:space="preserve">b) </w:t>
      </w:r>
      <w:r w:rsidRPr="004C757E">
        <w:rPr>
          <w:rFonts w:ascii="Arial" w:hAnsi="Arial" w:cs="Arial"/>
          <w:sz w:val="21"/>
          <w:szCs w:val="21"/>
        </w:rPr>
        <w:t>Desigualdad de género. La Encuesta Nacional sobre Discriminación (ENADIS) 2017, revela que 14.7% hombres y 19.9% mujeres mayores de 60 años no saben leer y escribir.</w:t>
      </w:r>
      <w:r w:rsidRPr="004C757E">
        <w:rPr>
          <w:rStyle w:val="Refdenotaalfinal"/>
          <w:rFonts w:ascii="Arial" w:hAnsi="Arial" w:cs="Arial"/>
          <w:sz w:val="21"/>
          <w:szCs w:val="21"/>
        </w:rPr>
        <w:endnoteReference w:id="6"/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c)</w:t>
      </w:r>
      <w:r w:rsidRPr="004C757E">
        <w:rPr>
          <w:rFonts w:ascii="Arial" w:hAnsi="Arial" w:cs="Arial"/>
          <w:sz w:val="21"/>
          <w:szCs w:val="21"/>
        </w:rPr>
        <w:t xml:space="preserve"> Discapacidad. Cifras del Instituto Nacional de Geografía y Estadística (INEGI, 2015) advierten que 26% de la población mayor de 60 años o más presentaba alguna discapacidad. Las cifras mostraron una mayor prevalencia de discapacidad en el género femenino (27.5%) que el masculino (24.2%).</w:t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 xml:space="preserve">d) </w:t>
      </w:r>
      <w:r w:rsidRPr="004C757E">
        <w:rPr>
          <w:rFonts w:ascii="Arial" w:hAnsi="Arial" w:cs="Arial"/>
          <w:sz w:val="21"/>
          <w:szCs w:val="21"/>
        </w:rPr>
        <w:t>Discriminación por razones de edad. La ENADIS 2017 refleja que 13.1% de entrevistados/as señaló haber sido discriminado en su trabajo y escuela durante el año previo a la encuesta; 89.4% piensa que a las personas mayores les cuesta trabajo utilizar la tecnología; 82% considera que la mayoría de gente se desespera fácilmente con las personas mayores, y un 40.6% manifestó que les han negado el acceso a becas y otros apoyos sociales.</w:t>
      </w:r>
      <w:r w:rsidRPr="004C757E">
        <w:rPr>
          <w:rStyle w:val="Refdenotaalfinal"/>
          <w:rFonts w:ascii="Arial" w:hAnsi="Arial" w:cs="Arial"/>
          <w:sz w:val="21"/>
          <w:szCs w:val="21"/>
        </w:rPr>
        <w:endnoteReference w:id="7"/>
      </w:r>
    </w:p>
    <w:p w:rsidR="004C757E" w:rsidRPr="004C757E" w:rsidRDefault="004C757E" w:rsidP="00B6504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¿Qué medidas se han tomado para garantizar que los servicios de educación, capacitación aprendizaje a lo largo de toda la vida y desarrollo de capacidades estén disponibles y accesibles para todas las personas mayores, adaptados a sus necesidades, adecuados a sus preferencias y motivaciones, y de alta calidad?</w:t>
      </w:r>
    </w:p>
    <w:p w:rsidR="004C757E" w:rsidRPr="004C757E" w:rsidRDefault="004C757E" w:rsidP="00C87BFA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sz w:val="21"/>
          <w:szCs w:val="21"/>
        </w:rPr>
        <w:t xml:space="preserve">A través de políticas públicas, ver pregunta 1 </w:t>
      </w:r>
      <w:r w:rsidRPr="004C757E">
        <w:rPr>
          <w:rFonts w:ascii="Arial" w:hAnsi="Arial" w:cs="Arial"/>
          <w:i/>
          <w:sz w:val="21"/>
          <w:szCs w:val="21"/>
        </w:rPr>
        <w:t xml:space="preserve">supra. </w:t>
      </w:r>
      <w:r w:rsidRPr="004C757E">
        <w:rPr>
          <w:rFonts w:ascii="Arial" w:hAnsi="Arial" w:cs="Arial"/>
          <w:sz w:val="21"/>
          <w:szCs w:val="21"/>
        </w:rPr>
        <w:t>De acuerdo al Instituto Nacional para la Evaluación Educativa, de 2015 a 2016 se redujo el monto destinado a educación para adultos, a pesar de que 35.2% de la población de 15 años o más carecía de educación secundaria en 2015.</w:t>
      </w:r>
      <w:r w:rsidRPr="004C757E">
        <w:rPr>
          <w:rStyle w:val="Refdenotaalfinal"/>
          <w:rFonts w:ascii="Arial" w:hAnsi="Arial" w:cs="Arial"/>
          <w:sz w:val="21"/>
          <w:szCs w:val="21"/>
        </w:rPr>
        <w:endnoteReference w:id="8"/>
      </w:r>
    </w:p>
    <w:p w:rsidR="004C757E" w:rsidRPr="004C757E" w:rsidRDefault="004C757E" w:rsidP="00B6504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En su país/región, existen estudios y/o datos disponibles accesibles para los adultos mayores sobre el derecho a la educación, capacitación, aprendizaje permanente y desarrollo de capacidades en edad avanzada?</w:t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sz w:val="21"/>
          <w:szCs w:val="21"/>
        </w:rPr>
        <w:t xml:space="preserve">a) La Plataforma “Datos abiertos” contiene información sobre los programas del INEA, disponible en el siguiente link </w:t>
      </w:r>
      <w:hyperlink r:id="rId8" w:history="1">
        <w:r w:rsidRPr="004C757E">
          <w:rPr>
            <w:rStyle w:val="Hipervnculo"/>
            <w:rFonts w:ascii="Arial" w:hAnsi="Arial" w:cs="Arial"/>
            <w:sz w:val="21"/>
            <w:szCs w:val="21"/>
          </w:rPr>
          <w:t>https://datos.gob.mx/busca/dataset?q=inea&amp;</w:t>
        </w:r>
      </w:hyperlink>
      <w:r w:rsidRPr="004C757E">
        <w:rPr>
          <w:rFonts w:ascii="Arial" w:hAnsi="Arial" w:cs="Arial"/>
          <w:sz w:val="21"/>
          <w:szCs w:val="21"/>
        </w:rPr>
        <w:t xml:space="preserve">. El INEGI cuenta con los resultados de varias encuestas y censos en su portal web </w:t>
      </w:r>
      <w:hyperlink r:id="rId9" w:history="1">
        <w:r w:rsidRPr="004C757E">
          <w:rPr>
            <w:rStyle w:val="Hipervnculo"/>
            <w:rFonts w:ascii="Arial" w:hAnsi="Arial" w:cs="Arial"/>
            <w:sz w:val="21"/>
            <w:szCs w:val="21"/>
          </w:rPr>
          <w:t>http://www.beta.inegi.org.mx/temas/educacion/</w:t>
        </w:r>
      </w:hyperlink>
      <w:r w:rsidRPr="004C757E">
        <w:rPr>
          <w:rFonts w:ascii="Arial" w:hAnsi="Arial" w:cs="Arial"/>
          <w:sz w:val="21"/>
          <w:szCs w:val="21"/>
        </w:rPr>
        <w:t>. A pesar de ello, se requiere mejorar las condiciones de accesibilidad para que los mismos puedan ser consultados por las personas mayores.</w:t>
      </w:r>
    </w:p>
    <w:p w:rsidR="004C757E" w:rsidRPr="004C757E" w:rsidRDefault="004C757E" w:rsidP="00386637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sz w:val="21"/>
          <w:szCs w:val="21"/>
        </w:rPr>
        <w:t>b) La Comisión Nacional de los Derechos Humanos proporciona servicios de información y orientación jurídica de manera presencial, vía telefónica y por medios electrónicos; pláticas, cursos, talleres, conferencias y actividades de capacitación o actualización a servidoras y servidores públicos e integrantes de organizaciones de los sectores social y privado en temas de derechos humanos de las personas mayores; elabora y distribuye materiales de difusión sobre los mismos.</w:t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Igualdad y no discriminación</w:t>
      </w:r>
    </w:p>
    <w:p w:rsidR="004C757E" w:rsidRPr="004C757E" w:rsidRDefault="004C757E" w:rsidP="00B6504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¿En su país, es la edad uno de los motivos prohibidos de discriminación en relación con la educación en la vejez?</w:t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sz w:val="21"/>
          <w:szCs w:val="21"/>
        </w:rPr>
        <w:t>La LGE no lo refiere en forma expresa, sin embargo, la CPEUM (Art. 1° y 3º) prohíbe a todas las autoridades, incluyendo las educativas, discriminar por razones de edad.</w:t>
      </w:r>
    </w:p>
    <w:p w:rsidR="004C757E" w:rsidRDefault="004C757E" w:rsidP="00B65045">
      <w:pPr>
        <w:spacing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4C757E" w:rsidRDefault="004C757E" w:rsidP="00B65045">
      <w:pPr>
        <w:spacing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lastRenderedPageBreak/>
        <w:t>Responsabilidad</w:t>
      </w:r>
    </w:p>
    <w:p w:rsidR="004C757E" w:rsidRPr="004C757E" w:rsidRDefault="004C757E" w:rsidP="00B6504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¿Qué mecanismos son necesarios, o ya existen, para que las personas mayores presenten quejas y busquen una reparación por la denegación de su derecho a la educación, la capacitación, el aprendizaje permanente y el desarrollo de capacidades?</w:t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a)</w:t>
      </w:r>
      <w:r w:rsidRPr="004C757E">
        <w:rPr>
          <w:rFonts w:ascii="Arial" w:hAnsi="Arial" w:cs="Arial"/>
          <w:sz w:val="21"/>
          <w:szCs w:val="21"/>
        </w:rPr>
        <w:t xml:space="preserve"> Queja ante el órgano interno de control de la autoridad que incurra en la negativa (Ley General de Responsabilidades Administrativas Art. 2, fracción II, 3, fracción XXI, y 75).</w:t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b)</w:t>
      </w:r>
      <w:r w:rsidRPr="004C757E">
        <w:rPr>
          <w:rFonts w:ascii="Arial" w:hAnsi="Arial" w:cs="Arial"/>
          <w:sz w:val="21"/>
          <w:szCs w:val="21"/>
        </w:rPr>
        <w:t xml:space="preserve"> Queja ante el Consejo Nacional para Prevenir y Erradicar la Discriminación (Art. XII de la Ley Federal para Prevenir y Erradicar la Discriminación), o ante los Consejos en cada entidad federativa. </w:t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c)</w:t>
      </w:r>
      <w:r w:rsidRPr="004C757E">
        <w:rPr>
          <w:rFonts w:ascii="Arial" w:hAnsi="Arial" w:cs="Arial"/>
          <w:sz w:val="21"/>
          <w:szCs w:val="21"/>
        </w:rPr>
        <w:t xml:space="preserve"> Queja ante la Comisión Nacional de los Derechos Humanos (Ley de la Comisión Nacional de los Derechos Humanos Art. 3º) si se trata de una autoridad federal, o ante los organismos públicos de derechos humanos en las entidades federativas.</w:t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d)</w:t>
      </w:r>
      <w:r w:rsidRPr="004C757E">
        <w:rPr>
          <w:rFonts w:ascii="Arial" w:hAnsi="Arial" w:cs="Arial"/>
          <w:sz w:val="21"/>
          <w:szCs w:val="21"/>
        </w:rPr>
        <w:t xml:space="preserve"> Juicio de Amparo (Ley de Amparo, Art. 1º, fracción I).</w:t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 xml:space="preserve">e) </w:t>
      </w:r>
      <w:r w:rsidRPr="004C757E">
        <w:rPr>
          <w:rFonts w:ascii="Arial" w:hAnsi="Arial" w:cs="Arial"/>
          <w:sz w:val="21"/>
          <w:szCs w:val="21"/>
        </w:rPr>
        <w:t>Denuncia penal por negativa o restricción del derecho a la educación (Art. 149 Ter Código Penal Federal).</w:t>
      </w:r>
    </w:p>
    <w:p w:rsidR="004C757E" w:rsidRPr="004C757E" w:rsidRDefault="004C757E" w:rsidP="00B6504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:rsidR="004C757E" w:rsidRPr="004C757E" w:rsidRDefault="004C757E" w:rsidP="00B6504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4C757E">
        <w:rPr>
          <w:rFonts w:ascii="Arial" w:hAnsi="Arial" w:cs="Arial"/>
          <w:b/>
          <w:color w:val="000000" w:themeColor="text1"/>
          <w:sz w:val="21"/>
          <w:szCs w:val="21"/>
        </w:rPr>
        <w:t>Tema 2. Protección social y seguridad social</w:t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Marco legal nacional</w:t>
      </w:r>
    </w:p>
    <w:p w:rsidR="004C757E" w:rsidRPr="004C757E" w:rsidRDefault="004C757E" w:rsidP="00B6504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¿Cuáles son las disposiciones legales nacionales que reconocen el derecho a la seguridad social y la protección social, incluidas las prestaciones de vejez, cuáles son de contribución y cuáles son gratuitas? ¿Tienen un fundamento constitucional, legislativo o ejecutivo?</w:t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color w:val="2F2F2F"/>
          <w:sz w:val="21"/>
          <w:szCs w:val="21"/>
          <w:shd w:val="clear" w:color="auto" w:fill="FFFFFF"/>
        </w:rPr>
      </w:pPr>
      <w:r w:rsidRPr="004C757E">
        <w:rPr>
          <w:rFonts w:ascii="Arial" w:hAnsi="Arial" w:cs="Arial"/>
          <w:sz w:val="21"/>
          <w:szCs w:val="21"/>
        </w:rPr>
        <w:t>El derecho a la seguridad social de los/as trabajadores se reconoce en el artículo 123 de la CPEUM, párrafo primero, apartado “A” fracción XXIX, y apartado “B” fracción XI.</w:t>
      </w:r>
      <w:r w:rsidRPr="004C757E" w:rsidDel="003C0428">
        <w:rPr>
          <w:rFonts w:ascii="Arial" w:hAnsi="Arial" w:cs="Arial"/>
          <w:sz w:val="21"/>
          <w:szCs w:val="21"/>
        </w:rPr>
        <w:t xml:space="preserve"> </w:t>
      </w:r>
      <w:r w:rsidRPr="004C757E">
        <w:rPr>
          <w:rFonts w:ascii="Arial" w:hAnsi="Arial" w:cs="Arial"/>
          <w:sz w:val="21"/>
          <w:szCs w:val="21"/>
        </w:rPr>
        <w:t xml:space="preserve"> Las Leyes del Seguro Social (IMSS)</w:t>
      </w:r>
      <w:r w:rsidRPr="004C757E">
        <w:rPr>
          <w:rFonts w:ascii="Arial" w:hAnsi="Arial" w:cs="Arial"/>
          <w:color w:val="2F2F2F"/>
          <w:sz w:val="21"/>
          <w:szCs w:val="21"/>
          <w:shd w:val="clear" w:color="auto" w:fill="FFFFFF"/>
        </w:rPr>
        <w:t>, el Instituto de Seguridad y Servicios Sociales de los Trabajadores al Servicio del Estado (ISSSTE), del Instituto de Seguridad Social de las Fuerzas Armadas  (ISSFAM) y la Ley de Petróleos Mexicanos (PEMEX) regulan las prestaciones de seguridad social para sus respectivos derechohabientes, entre las que se incluye el régimen de pensiones contributivas para la vejez</w:t>
      </w:r>
      <w:r w:rsidRPr="004C757E">
        <w:rPr>
          <w:rFonts w:ascii="Arial" w:hAnsi="Arial" w:cs="Arial"/>
          <w:sz w:val="21"/>
          <w:szCs w:val="21"/>
        </w:rPr>
        <w:t>.</w:t>
      </w:r>
      <w:r w:rsidRPr="004C757E">
        <w:rPr>
          <w:rStyle w:val="Refdenotaalfinal"/>
          <w:rFonts w:ascii="Arial" w:hAnsi="Arial" w:cs="Arial"/>
          <w:sz w:val="21"/>
          <w:szCs w:val="21"/>
        </w:rPr>
        <w:endnoteReference w:id="9"/>
      </w:r>
    </w:p>
    <w:p w:rsidR="004C757E" w:rsidRPr="004C757E" w:rsidRDefault="004C757E" w:rsidP="00B6504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color w:val="2F2F2F"/>
          <w:sz w:val="21"/>
          <w:szCs w:val="21"/>
          <w:shd w:val="clear" w:color="auto" w:fill="FFFFFF"/>
        </w:rPr>
        <w:t xml:space="preserve">La Ley de los Sistemas de Ahorro para el Retiro </w:t>
      </w:r>
      <w:r w:rsidRPr="004C757E">
        <w:rPr>
          <w:rFonts w:ascii="Arial" w:hAnsi="Arial" w:cs="Arial"/>
          <w:sz w:val="21"/>
          <w:szCs w:val="21"/>
        </w:rPr>
        <w:t>regula el funcionamiento de los sistemas de ahorro para el retiro y sus participantes previstos en esta Ley y en las leyes del IMSS, del Instituto del Fondo Nacional de la Vivienda para los Trabajadores y del ISSSTE.</w:t>
      </w:r>
      <w:r w:rsidRPr="004C757E">
        <w:rPr>
          <w:rStyle w:val="Refdenotaalfinal"/>
          <w:rFonts w:ascii="Arial" w:hAnsi="Arial" w:cs="Arial"/>
          <w:sz w:val="21"/>
          <w:szCs w:val="21"/>
        </w:rPr>
        <w:endnoteReference w:id="10"/>
      </w:r>
      <w:r w:rsidRPr="004C757E">
        <w:rPr>
          <w:rFonts w:ascii="Arial" w:hAnsi="Arial" w:cs="Arial"/>
          <w:sz w:val="21"/>
          <w:szCs w:val="21"/>
        </w:rPr>
        <w:t xml:space="preserve"> A nivel nacional, la Secretaría de Desarrollo Social</w:t>
      </w:r>
      <w:r w:rsidRPr="004C757E">
        <w:rPr>
          <w:rStyle w:val="Refdenotaalfinal"/>
          <w:rFonts w:ascii="Arial" w:hAnsi="Arial" w:cs="Arial"/>
          <w:sz w:val="21"/>
          <w:szCs w:val="21"/>
        </w:rPr>
        <w:endnoteReference w:id="11"/>
      </w:r>
      <w:r w:rsidRPr="004C757E">
        <w:rPr>
          <w:rFonts w:ascii="Arial" w:hAnsi="Arial" w:cs="Arial"/>
          <w:sz w:val="21"/>
          <w:szCs w:val="21"/>
        </w:rPr>
        <w:t xml:space="preserve"> implementa el </w:t>
      </w:r>
      <w:r w:rsidRPr="004C757E">
        <w:rPr>
          <w:rFonts w:ascii="Arial" w:hAnsi="Arial" w:cs="Arial"/>
          <w:i/>
          <w:iCs/>
          <w:sz w:val="21"/>
          <w:szCs w:val="21"/>
        </w:rPr>
        <w:t>Programa Pensión para Adultos Mayores,</w:t>
      </w:r>
      <w:r w:rsidRPr="004C757E">
        <w:rPr>
          <w:rFonts w:ascii="Arial" w:hAnsi="Arial" w:cs="Arial"/>
          <w:sz w:val="21"/>
          <w:szCs w:val="21"/>
        </w:rPr>
        <w:t xml:space="preserve"> su objetivo es asegurar un ingreso mínimo y apoyos de protección social a las personas que tienen más de 65 años de edad quienes cuyo ingreso mensual es inferior a $1,092 pesos por concepto de jubilación o pensión de tipo contributivo.</w:t>
      </w:r>
      <w:r w:rsidRPr="004C757E">
        <w:rPr>
          <w:rStyle w:val="Refdenotaalfinal"/>
          <w:rFonts w:ascii="Arial" w:hAnsi="Arial" w:cs="Arial"/>
          <w:sz w:val="21"/>
          <w:szCs w:val="21"/>
        </w:rPr>
        <w:endnoteReference w:id="12"/>
      </w:r>
      <w:r w:rsidRPr="004C757E">
        <w:rPr>
          <w:rFonts w:ascii="Arial" w:hAnsi="Arial" w:cs="Arial"/>
          <w:sz w:val="21"/>
          <w:szCs w:val="21"/>
        </w:rPr>
        <w:t xml:space="preserve"> A nivel Estatal, 11 entidades federativas entregaron pensiones no contributivas a personas mayores.</w:t>
      </w:r>
      <w:r w:rsidRPr="004C757E">
        <w:rPr>
          <w:rStyle w:val="Refdenotaalfinal"/>
          <w:rFonts w:ascii="Arial" w:hAnsi="Arial" w:cs="Arial"/>
          <w:sz w:val="21"/>
          <w:szCs w:val="21"/>
        </w:rPr>
        <w:endnoteReference w:id="13"/>
      </w:r>
    </w:p>
    <w:p w:rsidR="004C757E" w:rsidRPr="004C757E" w:rsidRDefault="004C757E" w:rsidP="00B6504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Disponibilidad</w:t>
      </w:r>
    </w:p>
    <w:p w:rsidR="004C757E" w:rsidRPr="004C757E" w:rsidRDefault="004C757E" w:rsidP="00B6504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¿Qué medidas se han tomado para garantizar cobertura universal, que cada adulto mayor tenga acceso a la seguridad social y a los esquemas de protección social, incluyendo pensiones de adultos mayores por medio de contribución o no contribución y de sobrevivientes, para garantizar un estándar adecuado de vida en la vejez?</w:t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sz w:val="21"/>
          <w:szCs w:val="21"/>
        </w:rPr>
        <w:t>La cobertura de la protección social es limitada, pues aunque los programas no contributivos de salud y pensiones se han expandido, sus beneficios y protección son menores que los proporcionados por los sistemas contributivos.</w:t>
      </w:r>
      <w:r w:rsidRPr="004C757E">
        <w:rPr>
          <w:rStyle w:val="Refdenotaalfinal"/>
          <w:rFonts w:ascii="Arial" w:hAnsi="Arial" w:cs="Arial"/>
          <w:sz w:val="21"/>
          <w:szCs w:val="21"/>
        </w:rPr>
        <w:endnoteReference w:id="14"/>
      </w:r>
      <w:r w:rsidRPr="004C757E">
        <w:rPr>
          <w:rFonts w:ascii="Arial" w:hAnsi="Arial" w:cs="Arial"/>
          <w:sz w:val="21"/>
          <w:szCs w:val="21"/>
        </w:rPr>
        <w:t xml:space="preserve"> En México, aunque se han registrado avances en los últimos años, 31.3% de las personas mayores de 65 años carece de algún tipo de pensión.</w:t>
      </w:r>
      <w:r w:rsidRPr="004C757E">
        <w:rPr>
          <w:rStyle w:val="Refdenotaalfinal"/>
          <w:rFonts w:ascii="Arial" w:hAnsi="Arial" w:cs="Arial"/>
          <w:sz w:val="21"/>
          <w:szCs w:val="21"/>
        </w:rPr>
        <w:endnoteReference w:id="15"/>
      </w:r>
      <w:r w:rsidRPr="004C757E">
        <w:rPr>
          <w:rFonts w:ascii="Arial" w:hAnsi="Arial" w:cs="Arial"/>
          <w:sz w:val="21"/>
          <w:szCs w:val="21"/>
        </w:rPr>
        <w:t xml:space="preserve"> La carencia por acceso a la seguridad social sigue siendo la más alta entre las que considera la medición multidimensional de la pobreza. En 2016, el 55.8% de la población carecían de acceso a la seguridad social.</w:t>
      </w:r>
      <w:r w:rsidRPr="004C757E">
        <w:rPr>
          <w:rStyle w:val="Refdenotaalfinal"/>
          <w:rFonts w:ascii="Arial" w:hAnsi="Arial" w:cs="Arial"/>
          <w:sz w:val="21"/>
          <w:szCs w:val="21"/>
        </w:rPr>
        <w:endnoteReference w:id="16"/>
      </w:r>
      <w:r w:rsidRPr="004C757E">
        <w:rPr>
          <w:rFonts w:ascii="Arial" w:hAnsi="Arial" w:cs="Arial"/>
          <w:sz w:val="21"/>
          <w:szCs w:val="21"/>
        </w:rPr>
        <w:t xml:space="preserve"> </w:t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sz w:val="21"/>
          <w:szCs w:val="21"/>
        </w:rPr>
        <w:lastRenderedPageBreak/>
        <w:t>Los programas estatales varían en cuanto al tipo de beneficios que otorgan, y la edad que deben alcanzar las personas mayores para ser beneficiarios. En general, exigen una condición de residencia en la entidad durante un número de específico de tiempo y no recibir algún otro beneficio por concepto de pensión.</w:t>
      </w:r>
      <w:r w:rsidRPr="004C757E">
        <w:rPr>
          <w:rStyle w:val="Refdenotaalfinal"/>
          <w:rFonts w:ascii="Arial" w:hAnsi="Arial" w:cs="Arial"/>
          <w:sz w:val="21"/>
          <w:szCs w:val="21"/>
        </w:rPr>
        <w:endnoteReference w:id="17"/>
      </w:r>
    </w:p>
    <w:p w:rsidR="004C757E" w:rsidRPr="004C757E" w:rsidRDefault="004C757E" w:rsidP="00B6504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¿Qué medidas se han tomado para garantizar que cada adulto mayor tenga acceso a la seguridad social y a los esquemas de protección social, los cuales garanticen el acceso a servicios de salud, atención y apoyo adecuados y asequibles para su vida independiente en la vejez?</w:t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a)</w:t>
      </w:r>
      <w:r w:rsidRPr="004C757E">
        <w:rPr>
          <w:rFonts w:ascii="Arial" w:hAnsi="Arial" w:cs="Arial"/>
          <w:sz w:val="21"/>
          <w:szCs w:val="21"/>
        </w:rPr>
        <w:t xml:space="preserve"> Seguro Popular. Programa cuyo objetivo es proteger a la población que no cuente con un seguro social de gastos médicos, a efecto que tengan acceso a los servicios de salud, médicos, hospitalarios, farmacéuticos y quirúrgicos.</w:t>
      </w:r>
      <w:r w:rsidRPr="004C757E">
        <w:rPr>
          <w:rStyle w:val="Refdenotaalfinal"/>
          <w:rFonts w:ascii="Arial" w:hAnsi="Arial" w:cs="Arial"/>
          <w:sz w:val="21"/>
          <w:szCs w:val="21"/>
        </w:rPr>
        <w:endnoteReference w:id="18"/>
      </w:r>
      <w:r w:rsidRPr="004C757E">
        <w:rPr>
          <w:rFonts w:ascii="Arial" w:hAnsi="Arial" w:cs="Arial"/>
          <w:sz w:val="21"/>
          <w:szCs w:val="21"/>
        </w:rPr>
        <w:t xml:space="preserve"> En 2015, 86.30% de personas mayores se encontraban afiliadas a algún servicio de salud, de ellas, el 40.89% estaban inscritas al Seguro Popular.</w:t>
      </w:r>
      <w:r w:rsidRPr="004C757E">
        <w:rPr>
          <w:rStyle w:val="Refdenotaalfinal"/>
          <w:rFonts w:ascii="Arial" w:hAnsi="Arial" w:cs="Arial"/>
          <w:sz w:val="21"/>
          <w:szCs w:val="21"/>
        </w:rPr>
        <w:endnoteReference w:id="19"/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b)</w:t>
      </w:r>
      <w:r w:rsidRPr="004C757E">
        <w:rPr>
          <w:rFonts w:ascii="Arial" w:hAnsi="Arial" w:cs="Arial"/>
          <w:sz w:val="21"/>
          <w:szCs w:val="21"/>
        </w:rPr>
        <w:t xml:space="preserve"> Programas sociales no contributivos. Datos de CONEVAL revelan que la población mexicana con carencia por acceso a la salud disminuyó 22.9%, pasando de 38.4% en 2008 a 15.5% en 2016, y destaca que hubo avances importantes en la cobertura de programas sociales que atienden riesgos relacionados con la seguridad social para las personas mayores.</w:t>
      </w:r>
      <w:r w:rsidRPr="004C757E">
        <w:rPr>
          <w:rStyle w:val="Refdenotaalfinal"/>
          <w:rFonts w:ascii="Arial" w:hAnsi="Arial" w:cs="Arial"/>
          <w:sz w:val="21"/>
          <w:szCs w:val="21"/>
        </w:rPr>
        <w:endnoteReference w:id="20"/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c)</w:t>
      </w:r>
      <w:r w:rsidRPr="004C757E">
        <w:rPr>
          <w:rFonts w:ascii="Arial" w:hAnsi="Arial" w:cs="Arial"/>
          <w:sz w:val="21"/>
          <w:szCs w:val="21"/>
        </w:rPr>
        <w:t xml:space="preserve"> Entre 2000 y 2014 se realizaron esfuerzos presupuestales para mejorar las condiciones sanitarias de la población, tanto a nivel nacional como estatal; 24 de las 32 entidades federativas del país incrementaron el monto correspondiente al gasto público en salud como porcentaje del PIB.</w:t>
      </w:r>
      <w:r w:rsidRPr="004C757E">
        <w:rPr>
          <w:rStyle w:val="Refdenotaalfinal"/>
          <w:rFonts w:ascii="Arial" w:hAnsi="Arial" w:cs="Arial"/>
          <w:sz w:val="21"/>
          <w:szCs w:val="21"/>
        </w:rPr>
        <w:endnoteReference w:id="21"/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Adecuación</w:t>
      </w:r>
    </w:p>
    <w:p w:rsidR="004C757E" w:rsidRPr="004C757E" w:rsidRDefault="004C757E" w:rsidP="00B6504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¿Qué medidas se han tomado para garantizar que los niveles de seguridad social y los pagos de protección social sean adecuados para que los adultos mayores tengan acceso a un estándar adecuado de vida, incluyendo el acceso adecuado a la atención médica y asistencia social?</w:t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 xml:space="preserve">a) </w:t>
      </w:r>
      <w:r w:rsidRPr="004C757E">
        <w:rPr>
          <w:rFonts w:ascii="Arial" w:hAnsi="Arial" w:cs="Arial"/>
          <w:sz w:val="21"/>
          <w:szCs w:val="21"/>
        </w:rPr>
        <w:t xml:space="preserve">En 2017 la CNDH publicó el informe </w:t>
      </w:r>
      <w:r w:rsidRPr="004C757E">
        <w:rPr>
          <w:rFonts w:ascii="Arial" w:hAnsi="Arial" w:cs="Arial"/>
          <w:i/>
          <w:sz w:val="21"/>
          <w:szCs w:val="21"/>
        </w:rPr>
        <w:t>Derechos Humanos y Pobreza Políticas públicas frente a la pobreza con la perspectiva de derechos del artículo 1º constitucional</w:t>
      </w:r>
      <w:r w:rsidRPr="004C757E">
        <w:rPr>
          <w:rFonts w:ascii="Arial" w:hAnsi="Arial" w:cs="Arial"/>
          <w:sz w:val="21"/>
          <w:szCs w:val="21"/>
        </w:rPr>
        <w:t>, en que se propone, entre otras medidas, formular una macropolítica de protección social universal e integrada, que permita alinear los recursos, superar gradual y progresivamente la segmentación de la salud y la seguridad social y contribuya también a mejorar la productividad de las personas trabajadoras; la cual debe garantizar, cuando menos, la cobertura universal de servicios de salud, garantizar pensiones para la edad avanzada y transferencias de ingreso básico para personas que presentan incapacidad temporal o permanente, discapacidad u otra condición que les impida generar ingreso por sí mismas, y crear una política de asistencia social moderna y no paternalista ni monetarizada para la atención de condiciones especiales de necesidad.</w:t>
      </w:r>
      <w:r w:rsidRPr="004C757E">
        <w:rPr>
          <w:rStyle w:val="Refdenotaalfinal"/>
          <w:rFonts w:ascii="Arial" w:hAnsi="Arial" w:cs="Arial"/>
          <w:sz w:val="21"/>
          <w:szCs w:val="21"/>
        </w:rPr>
        <w:endnoteReference w:id="22"/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b)</w:t>
      </w:r>
      <w:r w:rsidRPr="004C757E">
        <w:rPr>
          <w:rFonts w:ascii="Arial" w:hAnsi="Arial" w:cs="Arial"/>
          <w:sz w:val="21"/>
          <w:szCs w:val="21"/>
        </w:rPr>
        <w:t xml:space="preserve"> Adopción de la Declaración </w:t>
      </w:r>
      <w:r w:rsidRPr="004C757E">
        <w:rPr>
          <w:rFonts w:ascii="Arial" w:hAnsi="Arial" w:cs="Arial"/>
          <w:i/>
          <w:sz w:val="21"/>
          <w:szCs w:val="21"/>
        </w:rPr>
        <w:t>Envejecer con Dignidad y Derechos Humanos</w:t>
      </w:r>
      <w:r w:rsidRPr="004C757E">
        <w:rPr>
          <w:rFonts w:ascii="Arial" w:hAnsi="Arial" w:cs="Arial"/>
          <w:sz w:val="21"/>
          <w:szCs w:val="21"/>
        </w:rPr>
        <w:t xml:space="preserve"> (noviembre 2017), por parte de organismos públicos de derechos humanos, dependencias y entidades de los Poderes Ejecutivos, representantes de los Poderes Legislativos y Judiciales, organizaciones de la sociedad civil, instituciones académicas y sociedad civil en general, en la que se externó una preocupación compartida por la falta de acciones de prevención y atención -tanto en políticas públicas como a nivel privado- de las discriminaciones múltiples que afectan a las personas mayores.</w:t>
      </w:r>
      <w:r w:rsidRPr="004C757E">
        <w:rPr>
          <w:rStyle w:val="Refdenotaalfinal"/>
          <w:rFonts w:ascii="Arial" w:hAnsi="Arial" w:cs="Arial"/>
          <w:sz w:val="21"/>
          <w:szCs w:val="21"/>
        </w:rPr>
        <w:endnoteReference w:id="23"/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 xml:space="preserve">Accesibilidad </w:t>
      </w:r>
    </w:p>
    <w:p w:rsidR="004C757E" w:rsidRPr="004C757E" w:rsidRDefault="004C757E" w:rsidP="00B6504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¿Qué medidas se han tomado para garantizar que los adultos mayores tengan información adecuada y accesible sobre la seguridad social disponible y esquemas de protección social y cómo reclamar sus derechos?</w:t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a)</w:t>
      </w:r>
      <w:r w:rsidRPr="004C757E">
        <w:rPr>
          <w:rFonts w:ascii="Arial" w:hAnsi="Arial" w:cs="Arial"/>
          <w:sz w:val="21"/>
          <w:szCs w:val="21"/>
        </w:rPr>
        <w:t xml:space="preserve"> La Comisión Nacional de los Derechos Humanos proporciona servicios de información y orientación jurídica de manera presencial, vía telefónica y por medios electrónicos; pláticas, cursos, talleres, conferencias y actividades de capacitación o actualización a servidoras y servidores públicos e integrantes de organizaciones de los sectores social y privado en temas de derechos humanos de las personas mayores; elabora y distribuye materiales de difusión sobre los mismos.</w:t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lastRenderedPageBreak/>
        <w:t>b)</w:t>
      </w:r>
      <w:r w:rsidRPr="004C757E">
        <w:rPr>
          <w:rFonts w:ascii="Arial" w:hAnsi="Arial" w:cs="Arial"/>
          <w:sz w:val="21"/>
          <w:szCs w:val="21"/>
        </w:rPr>
        <w:t xml:space="preserve"> Desde 2013 la C</w:t>
      </w:r>
      <w:r>
        <w:rPr>
          <w:rFonts w:ascii="Arial" w:hAnsi="Arial" w:cs="Arial"/>
          <w:sz w:val="21"/>
          <w:szCs w:val="21"/>
        </w:rPr>
        <w:t xml:space="preserve">omisión </w:t>
      </w:r>
      <w:r w:rsidRPr="004C757E"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acional de los Sistemas de </w:t>
      </w:r>
      <w:r w:rsidRPr="004C757E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horro para el </w:t>
      </w:r>
      <w:r w:rsidRPr="004C757E"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etiro</w:t>
      </w:r>
      <w:r w:rsidRPr="004C757E">
        <w:rPr>
          <w:rFonts w:ascii="Arial" w:hAnsi="Arial" w:cs="Arial"/>
          <w:sz w:val="21"/>
          <w:szCs w:val="21"/>
        </w:rPr>
        <w:t xml:space="preserve"> ha implementado campañas de difusión con el objetivo que la población comprenda el sistema de pensiones. </w:t>
      </w:r>
      <w:r w:rsidRPr="004C757E">
        <w:rPr>
          <w:rStyle w:val="Refdenotaalfinal"/>
          <w:rFonts w:ascii="Arial" w:hAnsi="Arial" w:cs="Arial"/>
          <w:sz w:val="21"/>
          <w:szCs w:val="21"/>
        </w:rPr>
        <w:endnoteReference w:id="24"/>
      </w:r>
      <w:r w:rsidRPr="004C757E">
        <w:rPr>
          <w:rFonts w:ascii="Arial" w:hAnsi="Arial" w:cs="Arial"/>
          <w:sz w:val="21"/>
          <w:szCs w:val="21"/>
        </w:rPr>
        <w:t xml:space="preserve"> </w:t>
      </w:r>
    </w:p>
    <w:p w:rsidR="004C757E" w:rsidRPr="004C757E" w:rsidRDefault="004C757E" w:rsidP="00B6504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¿El diseño e implementación del marco normativo y político, referente a los beneficios de la seguridad social y protección social, incluyeron una participación efectiva y significativa de los adultos mayores?</w:t>
      </w:r>
    </w:p>
    <w:p w:rsidR="004C757E" w:rsidRPr="004C757E" w:rsidRDefault="004C757E" w:rsidP="0080789D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sz w:val="21"/>
          <w:szCs w:val="21"/>
        </w:rPr>
        <w:t xml:space="preserve">La LDPAM establece la participación como un principio rector y un derecho (artículo 4° fracción II y artículo 5° fracción VII), ello implica, la inserción de las personas mayores en todos los órdenes de la vida pública; ser consultados y tomados en cuenta en todo los ámbitos de su interés; asociarse y conformar organizaciones, participar en los procesos productivos, de educación y capacitación; integrarse en la vida cultural y recreativa de su comunidad, y formar parte de los órganos de representación y de consulta ciudadana.   </w:t>
      </w:r>
      <w:r w:rsidRPr="004C757E">
        <w:rPr>
          <w:rFonts w:ascii="Arial" w:hAnsi="Arial" w:cs="Arial"/>
          <w:sz w:val="21"/>
          <w:szCs w:val="21"/>
        </w:rPr>
        <w:cr/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Igualdad y no discriminación</w:t>
      </w:r>
    </w:p>
    <w:p w:rsidR="004C757E" w:rsidRPr="004C757E" w:rsidRDefault="004C757E" w:rsidP="00B6504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¿Cuáles son las medidas adoptadas para garantizar un acceso equitativo para los adultos mayores a las seguridad social y protección social, prestando especial atención a los grupos en situación de vulnerabilidad?</w:t>
      </w:r>
    </w:p>
    <w:p w:rsidR="004C757E" w:rsidRPr="004C757E" w:rsidRDefault="004C757E" w:rsidP="00B65045">
      <w:pPr>
        <w:spacing w:line="24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a)</w:t>
      </w:r>
      <w:r w:rsidRPr="004C757E">
        <w:rPr>
          <w:rFonts w:ascii="Arial" w:hAnsi="Arial" w:cs="Arial"/>
          <w:sz w:val="21"/>
          <w:szCs w:val="21"/>
        </w:rPr>
        <w:t xml:space="preserve"> Reconocimiento de derechos de seguridad social a matrimonios de personas del mismo sexo. Reformas a la Ley del IMSS e ISSSTE para otorgarles prestaciones de seguridad social a las/os integrantes.</w:t>
      </w:r>
      <w:r w:rsidRPr="004C757E">
        <w:rPr>
          <w:rStyle w:val="Refdenotaalfinal"/>
          <w:rFonts w:ascii="Arial" w:hAnsi="Arial" w:cs="Arial"/>
          <w:sz w:val="21"/>
          <w:szCs w:val="21"/>
        </w:rPr>
        <w:endnoteReference w:id="25"/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Responsabilidad</w:t>
      </w:r>
    </w:p>
    <w:p w:rsidR="004C757E" w:rsidRPr="004C757E" w:rsidRDefault="004C757E" w:rsidP="00B6504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¿Cuáles mecanismos existen para garantizar que la seguridad social y esquemas de protección social sean efectivos y responsables?</w:t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a)</w:t>
      </w:r>
      <w:r w:rsidRPr="004C757E">
        <w:rPr>
          <w:rFonts w:ascii="Arial" w:hAnsi="Arial" w:cs="Arial"/>
          <w:sz w:val="21"/>
          <w:szCs w:val="21"/>
        </w:rPr>
        <w:t xml:space="preserve"> Evaluación de la Política Social por parte del Consejo Nacional de Evaluación de la Política Social (CONEVAL).</w:t>
      </w:r>
      <w:r w:rsidRPr="004C757E">
        <w:rPr>
          <w:rStyle w:val="Refdenotaalfinal"/>
          <w:rFonts w:ascii="Arial" w:hAnsi="Arial" w:cs="Arial"/>
          <w:sz w:val="21"/>
          <w:szCs w:val="21"/>
        </w:rPr>
        <w:endnoteReference w:id="26"/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b)</w:t>
      </w:r>
      <w:r w:rsidRPr="004C757E">
        <w:rPr>
          <w:rFonts w:ascii="Arial" w:hAnsi="Arial" w:cs="Arial"/>
          <w:sz w:val="21"/>
          <w:szCs w:val="21"/>
        </w:rPr>
        <w:t xml:space="preserve"> Evaluaciones de diseño y resultados por parte de la Auditoría Superior de la Federación.</w:t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c)</w:t>
      </w:r>
      <w:r w:rsidRPr="004C757E">
        <w:rPr>
          <w:rFonts w:ascii="Arial" w:hAnsi="Arial" w:cs="Arial"/>
          <w:sz w:val="21"/>
          <w:szCs w:val="21"/>
        </w:rPr>
        <w:t xml:space="preserve"> Estudios e informes elaborados por Organismos Públicos de Derechos Humanos.</w:t>
      </w:r>
      <w:r w:rsidRPr="004C757E">
        <w:rPr>
          <w:rStyle w:val="Refdenotaalfinal"/>
          <w:rFonts w:ascii="Arial" w:hAnsi="Arial" w:cs="Arial"/>
          <w:sz w:val="21"/>
          <w:szCs w:val="21"/>
        </w:rPr>
        <w:endnoteReference w:id="27"/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d)</w:t>
      </w:r>
      <w:r w:rsidRPr="004C757E">
        <w:rPr>
          <w:rFonts w:ascii="Arial" w:hAnsi="Arial" w:cs="Arial"/>
          <w:sz w:val="21"/>
          <w:szCs w:val="21"/>
        </w:rPr>
        <w:t xml:space="preserve"> Informes de organismos internacionales y organizaciones de la sociedad civil.</w:t>
      </w:r>
      <w:r w:rsidRPr="004C757E">
        <w:rPr>
          <w:rStyle w:val="Refdenotaalfinal"/>
          <w:rFonts w:ascii="Arial" w:hAnsi="Arial" w:cs="Arial"/>
          <w:sz w:val="21"/>
          <w:szCs w:val="21"/>
        </w:rPr>
        <w:endnoteReference w:id="28"/>
      </w:r>
    </w:p>
    <w:p w:rsidR="004C757E" w:rsidRPr="004C757E" w:rsidRDefault="004C757E" w:rsidP="00B6504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¿Qué mecanismos jurídicos y no jurídicos existen para que los adultos mayores puedan quejarse y buscar una reparación por la denegación de su derecho a la seguridad social?</w:t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a)</w:t>
      </w:r>
      <w:r w:rsidRPr="004C757E">
        <w:rPr>
          <w:rFonts w:ascii="Arial" w:hAnsi="Arial" w:cs="Arial"/>
          <w:sz w:val="21"/>
          <w:szCs w:val="21"/>
        </w:rPr>
        <w:t xml:space="preserve"> Queja ante el órgano interno de control de la autoridad que incurra en la negativa (Ley General de Responsabilidades Administrativas Art. 2, fracción II, 3, fracción XXI, y 75).</w:t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 xml:space="preserve">b) </w:t>
      </w:r>
      <w:r w:rsidRPr="004C757E">
        <w:rPr>
          <w:rFonts w:ascii="Arial" w:hAnsi="Arial" w:cs="Arial"/>
          <w:sz w:val="21"/>
          <w:szCs w:val="21"/>
        </w:rPr>
        <w:t>Consultas, reclamaciones y quejas ante la Unidad Especializada de las Administradoras de Fondos para el Retiro (AFORE) (Art. 50 BIS Ley de Protección y Defensa al usuario de Servicios Financieros).</w:t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c)</w:t>
      </w:r>
      <w:r w:rsidRPr="004C757E">
        <w:rPr>
          <w:rFonts w:ascii="Arial" w:hAnsi="Arial" w:cs="Arial"/>
          <w:sz w:val="21"/>
          <w:szCs w:val="21"/>
        </w:rPr>
        <w:t xml:space="preserve"> Procedimiento de Conciliación y Arbitraje ante la Comisión Nacional de Defensa de los Usuarios de Servicios Financieros (A</w:t>
      </w:r>
      <w:r>
        <w:rPr>
          <w:rFonts w:ascii="Arial" w:hAnsi="Arial" w:cs="Arial"/>
          <w:sz w:val="21"/>
          <w:szCs w:val="21"/>
        </w:rPr>
        <w:t xml:space="preserve">rt. 60 a 84 </w:t>
      </w:r>
      <w:r w:rsidRPr="004C757E">
        <w:rPr>
          <w:rFonts w:ascii="Arial" w:hAnsi="Arial" w:cs="Arial"/>
          <w:sz w:val="21"/>
          <w:szCs w:val="21"/>
        </w:rPr>
        <w:t xml:space="preserve"> Ley de Protección y Defensa al usuario de Servicios Financieros).</w:t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>d)</w:t>
      </w:r>
      <w:r w:rsidRPr="004C757E">
        <w:rPr>
          <w:rFonts w:ascii="Arial" w:hAnsi="Arial" w:cs="Arial"/>
          <w:sz w:val="21"/>
          <w:szCs w:val="21"/>
        </w:rPr>
        <w:t xml:space="preserve"> Denuncia penal por la comisión de los delitos tipificados en la Ley de los Sistemas de Ahorro para el Retiro (Arts. 103-110).</w:t>
      </w:r>
    </w:p>
    <w:p w:rsidR="004C757E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 xml:space="preserve">e) </w:t>
      </w:r>
      <w:r w:rsidRPr="004C757E">
        <w:rPr>
          <w:rFonts w:ascii="Arial" w:hAnsi="Arial" w:cs="Arial"/>
          <w:sz w:val="21"/>
          <w:szCs w:val="21"/>
        </w:rPr>
        <w:t>Queja ante la Comisión Nacional de los Derechos Humanos (Ley de la Comisión Nacional de los Derechos Humanos Art. 3º).</w:t>
      </w:r>
    </w:p>
    <w:p w:rsidR="00B65045" w:rsidRPr="004C757E" w:rsidRDefault="004C757E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4C757E">
        <w:rPr>
          <w:rFonts w:ascii="Arial" w:hAnsi="Arial" w:cs="Arial"/>
          <w:b/>
          <w:sz w:val="21"/>
          <w:szCs w:val="21"/>
        </w:rPr>
        <w:t xml:space="preserve">f) </w:t>
      </w:r>
      <w:r w:rsidRPr="004C757E">
        <w:rPr>
          <w:rFonts w:ascii="Arial" w:hAnsi="Arial" w:cs="Arial"/>
          <w:sz w:val="21"/>
          <w:szCs w:val="21"/>
        </w:rPr>
        <w:t>Juicio ante los Tribunales Laborales</w:t>
      </w:r>
      <w:r w:rsidRPr="004C757E">
        <w:rPr>
          <w:rStyle w:val="Refdenotaalfinal"/>
          <w:rFonts w:ascii="Arial" w:hAnsi="Arial" w:cs="Arial"/>
          <w:sz w:val="21"/>
          <w:szCs w:val="21"/>
        </w:rPr>
        <w:endnoteReference w:id="29"/>
      </w:r>
      <w:r w:rsidRPr="004C757E">
        <w:rPr>
          <w:rFonts w:ascii="Arial" w:hAnsi="Arial" w:cs="Arial"/>
          <w:sz w:val="21"/>
          <w:szCs w:val="21"/>
        </w:rPr>
        <w:t xml:space="preserve"> </w:t>
      </w:r>
      <w:r w:rsidR="00B65045" w:rsidRPr="004C757E">
        <w:rPr>
          <w:rFonts w:ascii="Arial" w:hAnsi="Arial" w:cs="Arial"/>
          <w:sz w:val="21"/>
          <w:szCs w:val="21"/>
        </w:rPr>
        <w:t>y/o Juicio de Amparo (Ley de Amparo, Art. 1º, fracción I).</w:t>
      </w:r>
    </w:p>
    <w:p w:rsidR="00B65045" w:rsidRPr="004C757E" w:rsidRDefault="00B65045" w:rsidP="00B65045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:rsidR="006D4B43" w:rsidRPr="004C757E" w:rsidRDefault="00D5106C" w:rsidP="00B65045">
      <w:pPr>
        <w:spacing w:line="240" w:lineRule="auto"/>
        <w:rPr>
          <w:rFonts w:ascii="Arial" w:hAnsi="Arial" w:cs="Arial"/>
          <w:sz w:val="21"/>
          <w:szCs w:val="21"/>
        </w:rPr>
      </w:pPr>
    </w:p>
    <w:sectPr w:rsidR="006D4B43" w:rsidRPr="004C757E" w:rsidSect="00C174ED">
      <w:footerReference w:type="default" r:id="rId10"/>
      <w:pgSz w:w="12240" w:h="15840"/>
      <w:pgMar w:top="1135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06C" w:rsidRDefault="00D5106C" w:rsidP="00B65045">
      <w:pPr>
        <w:spacing w:after="0" w:line="240" w:lineRule="auto"/>
      </w:pPr>
      <w:r>
        <w:separator/>
      </w:r>
    </w:p>
  </w:endnote>
  <w:endnote w:type="continuationSeparator" w:id="0">
    <w:p w:rsidR="00D5106C" w:rsidRDefault="00D5106C" w:rsidP="00B65045">
      <w:pPr>
        <w:spacing w:after="0" w:line="240" w:lineRule="auto"/>
      </w:pPr>
      <w:r>
        <w:continuationSeparator/>
      </w:r>
    </w:p>
  </w:endnote>
  <w:endnote w:id="1">
    <w:p w:rsidR="004C757E" w:rsidRPr="00490EF5" w:rsidRDefault="004C757E" w:rsidP="00B65045">
      <w:pPr>
        <w:pStyle w:val="Textonotaalfinal"/>
        <w:jc w:val="both"/>
        <w:rPr>
          <w:rFonts w:ascii="Arial Narrow" w:hAnsi="Arial Narrow" w:cs="Arial"/>
          <w:sz w:val="18"/>
          <w:szCs w:val="18"/>
        </w:rPr>
      </w:pPr>
      <w:r w:rsidRPr="00490EF5">
        <w:rPr>
          <w:rStyle w:val="Refdenotaalfinal"/>
          <w:rFonts w:ascii="Arial Narrow" w:hAnsi="Arial Narrow" w:cs="Arial"/>
          <w:sz w:val="18"/>
          <w:szCs w:val="18"/>
        </w:rPr>
        <w:endnoteRef/>
      </w:r>
      <w:r w:rsidRPr="00490EF5">
        <w:rPr>
          <w:rFonts w:ascii="Arial Narrow" w:hAnsi="Arial Narrow" w:cs="Arial"/>
          <w:sz w:val="18"/>
          <w:szCs w:val="18"/>
        </w:rPr>
        <w:t xml:space="preserve"> </w:t>
      </w:r>
      <w:r w:rsidRPr="00490EF5">
        <w:rPr>
          <w:rFonts w:ascii="Arial Narrow" w:hAnsi="Arial Narrow" w:cs="Arial"/>
          <w:color w:val="2C2C2B"/>
          <w:sz w:val="18"/>
          <w:szCs w:val="18"/>
          <w:shd w:val="clear" w:color="auto" w:fill="FFFFFF"/>
        </w:rPr>
        <w:t xml:space="preserve">El INEA es un organismo descentralizado de la Administración Pública Federal con personalidad jurídica y patrimonio propio, creado por decreto presidencial publicado en el Diario Oficial de la Federación el 31 de agosto de 1981. Propone y desarrolla modelos educativos, realiza investigaciones sobre la materia, elabora y distribuye materiales didácticos, aplica sistemas para la evaluación del aprendizaje de los adultos, así como acredita y certifica la educación básica para adultos y jóvenes de 15 años y más que no hayan cursado o concluido dichos estudios en los términos del artículo 43 de la Ley General de Educación. Fuente </w:t>
      </w:r>
      <w:hyperlink r:id="rId1" w:history="1">
        <w:r w:rsidRPr="00490EF5">
          <w:rPr>
            <w:rStyle w:val="Hipervnculo"/>
            <w:rFonts w:ascii="Arial Narrow" w:hAnsi="Arial Narrow" w:cs="Arial"/>
            <w:sz w:val="18"/>
            <w:szCs w:val="18"/>
          </w:rPr>
          <w:t>https://www.gob.mx/inea/que-hacemos</w:t>
        </w:r>
      </w:hyperlink>
      <w:r w:rsidRPr="00490EF5">
        <w:rPr>
          <w:rFonts w:ascii="Arial Narrow" w:hAnsi="Arial Narrow" w:cs="Arial"/>
          <w:sz w:val="18"/>
          <w:szCs w:val="18"/>
        </w:rPr>
        <w:t>, consultado el 8 de enero de 2019.</w:t>
      </w:r>
    </w:p>
  </w:endnote>
  <w:endnote w:id="2">
    <w:p w:rsidR="004C757E" w:rsidRPr="00490EF5" w:rsidRDefault="004C757E" w:rsidP="00B65045">
      <w:pPr>
        <w:pStyle w:val="Textonotaalfinal"/>
        <w:jc w:val="both"/>
        <w:rPr>
          <w:rFonts w:ascii="Arial Narrow" w:hAnsi="Arial Narrow" w:cs="Arial"/>
          <w:sz w:val="18"/>
          <w:szCs w:val="18"/>
        </w:rPr>
      </w:pPr>
      <w:r w:rsidRPr="00490EF5">
        <w:rPr>
          <w:rStyle w:val="Refdenotaalfinal"/>
          <w:rFonts w:ascii="Arial Narrow" w:hAnsi="Arial Narrow" w:cs="Arial"/>
          <w:sz w:val="18"/>
          <w:szCs w:val="18"/>
        </w:rPr>
        <w:endnoteRef/>
      </w:r>
      <w:r w:rsidRPr="00490EF5">
        <w:rPr>
          <w:rFonts w:ascii="Arial Narrow" w:hAnsi="Arial Narrow" w:cs="Arial"/>
          <w:sz w:val="18"/>
          <w:szCs w:val="18"/>
        </w:rPr>
        <w:t xml:space="preserve"> </w:t>
      </w:r>
      <w:hyperlink r:id="rId2" w:history="1">
        <w:r w:rsidRPr="00490EF5">
          <w:rPr>
            <w:rStyle w:val="Hipervnculo"/>
            <w:rFonts w:ascii="Arial Narrow" w:hAnsi="Arial Narrow" w:cs="Arial"/>
            <w:sz w:val="18"/>
            <w:szCs w:val="18"/>
          </w:rPr>
          <w:t>http://www.cursosinea.conevyt.org.mx/recursos/promo_mevyt/Con_frames/principal.html</w:t>
        </w:r>
      </w:hyperlink>
      <w:r w:rsidRPr="00490EF5">
        <w:rPr>
          <w:rFonts w:ascii="Arial Narrow" w:hAnsi="Arial Narrow" w:cs="Arial"/>
          <w:sz w:val="18"/>
          <w:szCs w:val="18"/>
        </w:rPr>
        <w:t xml:space="preserve"> </w:t>
      </w:r>
    </w:p>
  </w:endnote>
  <w:endnote w:id="3">
    <w:p w:rsidR="004C757E" w:rsidRPr="00DB2110" w:rsidRDefault="004C757E" w:rsidP="00B65045">
      <w:pPr>
        <w:pStyle w:val="Textonotaalfinal"/>
        <w:jc w:val="both"/>
        <w:rPr>
          <w:rFonts w:ascii="Arial Narrow" w:hAnsi="Arial Narrow" w:cs="Arial"/>
          <w:sz w:val="18"/>
          <w:szCs w:val="18"/>
        </w:rPr>
      </w:pPr>
      <w:r w:rsidRPr="00DB2110">
        <w:rPr>
          <w:rStyle w:val="Refdenotaalfinal"/>
          <w:rFonts w:ascii="Arial Narrow" w:hAnsi="Arial Narrow" w:cs="Arial"/>
          <w:sz w:val="18"/>
          <w:szCs w:val="18"/>
        </w:rPr>
        <w:endnoteRef/>
      </w:r>
      <w:r w:rsidRPr="00DB2110">
        <w:rPr>
          <w:rFonts w:ascii="Arial Narrow" w:hAnsi="Arial Narrow" w:cs="Arial"/>
          <w:sz w:val="18"/>
          <w:szCs w:val="18"/>
        </w:rPr>
        <w:t xml:space="preserve"> </w:t>
      </w:r>
      <w:hyperlink r:id="rId3" w:history="1">
        <w:r w:rsidRPr="00DB2110">
          <w:rPr>
            <w:rStyle w:val="Hipervnculo"/>
            <w:rFonts w:ascii="Arial Narrow" w:hAnsi="Arial Narrow" w:cs="Arial"/>
            <w:sz w:val="18"/>
            <w:szCs w:val="18"/>
          </w:rPr>
          <w:t>https://www.gob.mx/inapam/prensa/desarrollan-inea-e-inapam-modelo-educativo-para-adultos-mayores?idiom=es</w:t>
        </w:r>
      </w:hyperlink>
      <w:r w:rsidRPr="00DB2110">
        <w:rPr>
          <w:rFonts w:ascii="Arial Narrow" w:hAnsi="Arial Narrow" w:cs="Arial"/>
          <w:sz w:val="18"/>
          <w:szCs w:val="18"/>
        </w:rPr>
        <w:t xml:space="preserve"> </w:t>
      </w:r>
    </w:p>
  </w:endnote>
  <w:endnote w:id="4">
    <w:p w:rsidR="004C757E" w:rsidRPr="00DB2110" w:rsidRDefault="004C757E" w:rsidP="00B65045">
      <w:pPr>
        <w:pStyle w:val="Textonotaalfinal"/>
        <w:jc w:val="both"/>
        <w:rPr>
          <w:rFonts w:ascii="Arial Narrow" w:hAnsi="Arial Narrow" w:cs="Arial"/>
          <w:sz w:val="18"/>
          <w:szCs w:val="18"/>
        </w:rPr>
      </w:pPr>
      <w:r w:rsidRPr="00DB2110">
        <w:rPr>
          <w:rStyle w:val="Refdenotaalfinal"/>
          <w:rFonts w:ascii="Arial Narrow" w:hAnsi="Arial Narrow" w:cs="Arial"/>
          <w:sz w:val="18"/>
          <w:szCs w:val="18"/>
        </w:rPr>
        <w:endnoteRef/>
      </w:r>
      <w:r w:rsidRPr="00DB2110">
        <w:rPr>
          <w:rFonts w:ascii="Arial Narrow" w:hAnsi="Arial Narrow" w:cs="Arial"/>
          <w:sz w:val="18"/>
          <w:szCs w:val="18"/>
        </w:rPr>
        <w:t xml:space="preserve"> </w:t>
      </w:r>
      <w:hyperlink r:id="rId4" w:history="1">
        <w:r w:rsidRPr="00DB2110">
          <w:rPr>
            <w:rStyle w:val="Hipervnculo"/>
            <w:rFonts w:ascii="Arial Narrow" w:hAnsi="Arial Narrow" w:cs="Arial"/>
            <w:sz w:val="18"/>
            <w:szCs w:val="18"/>
          </w:rPr>
          <w:t>https://www.gob.mx/cms/uploads/attachment/file/147769/Manual_PEC__1_.pdf</w:t>
        </w:r>
      </w:hyperlink>
      <w:r w:rsidRPr="00DB2110">
        <w:rPr>
          <w:rFonts w:ascii="Arial Narrow" w:hAnsi="Arial Narrow" w:cs="Arial"/>
          <w:sz w:val="18"/>
          <w:szCs w:val="18"/>
        </w:rPr>
        <w:t xml:space="preserve"> </w:t>
      </w:r>
    </w:p>
  </w:endnote>
  <w:endnote w:id="5">
    <w:p w:rsidR="004C757E" w:rsidRPr="00DB2110" w:rsidRDefault="004C757E" w:rsidP="00B65045">
      <w:pPr>
        <w:pStyle w:val="Textonotaalfinal"/>
        <w:contextualSpacing/>
        <w:jc w:val="both"/>
        <w:rPr>
          <w:rFonts w:ascii="Arial Narrow" w:hAnsi="Arial Narrow" w:cs="Arial"/>
          <w:sz w:val="18"/>
          <w:szCs w:val="18"/>
        </w:rPr>
      </w:pPr>
      <w:r w:rsidRPr="00DB2110">
        <w:rPr>
          <w:rStyle w:val="Refdenotaalfinal"/>
          <w:rFonts w:ascii="Arial Narrow" w:hAnsi="Arial Narrow" w:cs="Arial"/>
          <w:sz w:val="18"/>
          <w:szCs w:val="18"/>
        </w:rPr>
        <w:endnoteRef/>
      </w:r>
      <w:r w:rsidRPr="00DB2110">
        <w:rPr>
          <w:rFonts w:ascii="Arial Narrow" w:hAnsi="Arial Narrow" w:cs="Arial"/>
          <w:sz w:val="18"/>
          <w:szCs w:val="18"/>
        </w:rPr>
        <w:t xml:space="preserve"> CONEVAL, Medición de la pobreza, Estados Unidos Mexicanos, 2016, Porcentaje, número de personas y carencias promedio por indicador de pobreza en la población de adultos mayores, 2010-2016, Población de 65 años y más.</w:t>
      </w:r>
    </w:p>
  </w:endnote>
  <w:endnote w:id="6">
    <w:p w:rsidR="004C757E" w:rsidRPr="00DB2110" w:rsidRDefault="004C757E" w:rsidP="00B65045">
      <w:pPr>
        <w:spacing w:after="0" w:line="240" w:lineRule="auto"/>
        <w:contextualSpacing/>
        <w:jc w:val="both"/>
        <w:rPr>
          <w:rFonts w:ascii="Arial Narrow" w:hAnsi="Arial Narrow" w:cs="Arial"/>
          <w:sz w:val="18"/>
          <w:szCs w:val="18"/>
        </w:rPr>
      </w:pPr>
      <w:r w:rsidRPr="00DB2110">
        <w:rPr>
          <w:rStyle w:val="Refdenotaalfinal"/>
          <w:rFonts w:ascii="Arial Narrow" w:hAnsi="Arial Narrow" w:cs="Arial"/>
          <w:sz w:val="18"/>
          <w:szCs w:val="18"/>
        </w:rPr>
        <w:endnoteRef/>
      </w:r>
      <w:r w:rsidRPr="00DB2110">
        <w:rPr>
          <w:rFonts w:ascii="Arial Narrow" w:hAnsi="Arial Narrow" w:cs="Arial"/>
          <w:sz w:val="18"/>
          <w:szCs w:val="18"/>
        </w:rPr>
        <w:t xml:space="preserve"> Encuesta Nacional sobre Discriminación 2017.</w:t>
      </w:r>
    </w:p>
  </w:endnote>
  <w:endnote w:id="7">
    <w:p w:rsidR="004C757E" w:rsidRPr="00DB2110" w:rsidRDefault="004C757E" w:rsidP="00B65045">
      <w:pPr>
        <w:pStyle w:val="Textonotaalfinal"/>
        <w:contextualSpacing/>
        <w:jc w:val="both"/>
        <w:rPr>
          <w:rFonts w:ascii="Arial Narrow" w:hAnsi="Arial Narrow" w:cs="Arial"/>
          <w:sz w:val="18"/>
          <w:szCs w:val="18"/>
        </w:rPr>
      </w:pPr>
      <w:r w:rsidRPr="00DB2110">
        <w:rPr>
          <w:rStyle w:val="Refdenotaalfinal"/>
          <w:rFonts w:ascii="Arial Narrow" w:hAnsi="Arial Narrow" w:cs="Arial"/>
          <w:sz w:val="18"/>
          <w:szCs w:val="18"/>
        </w:rPr>
        <w:endnoteRef/>
      </w:r>
      <w:r w:rsidRPr="00DB2110">
        <w:rPr>
          <w:rFonts w:ascii="Arial Narrow" w:hAnsi="Arial Narrow" w:cs="Arial"/>
          <w:sz w:val="18"/>
          <w:szCs w:val="18"/>
        </w:rPr>
        <w:t xml:space="preserve"> INEGI, ENADIS 2017, Tabulados, Cuadros con información sobre población de 60 y más años, </w:t>
      </w:r>
      <w:hyperlink r:id="rId5" w:history="1">
        <w:r w:rsidRPr="00DB2110">
          <w:rPr>
            <w:rStyle w:val="Hipervnculo"/>
            <w:rFonts w:ascii="Arial Narrow" w:hAnsi="Arial Narrow" w:cs="Arial"/>
            <w:sz w:val="18"/>
            <w:szCs w:val="18"/>
          </w:rPr>
          <w:t>http://www.beta.inegi.org.mx/programas/enadis/2017/</w:t>
        </w:r>
      </w:hyperlink>
      <w:r w:rsidRPr="00DB2110">
        <w:rPr>
          <w:rFonts w:ascii="Arial Narrow" w:hAnsi="Arial Narrow" w:cs="Arial"/>
          <w:sz w:val="18"/>
          <w:szCs w:val="18"/>
        </w:rPr>
        <w:t xml:space="preserve"> </w:t>
      </w:r>
    </w:p>
  </w:endnote>
  <w:endnote w:id="8">
    <w:p w:rsidR="004C757E" w:rsidRPr="00C87BFA" w:rsidRDefault="004C757E">
      <w:pPr>
        <w:pStyle w:val="Textonotaalfinal"/>
      </w:pPr>
      <w:r w:rsidRPr="00DB2110">
        <w:rPr>
          <w:rStyle w:val="Refdenotaalfinal"/>
          <w:rFonts w:ascii="Arial Narrow" w:hAnsi="Arial Narrow"/>
          <w:sz w:val="18"/>
          <w:szCs w:val="18"/>
        </w:rPr>
        <w:endnoteRef/>
      </w:r>
      <w:r w:rsidRPr="00DB2110">
        <w:rPr>
          <w:rFonts w:ascii="Arial Narrow" w:hAnsi="Arial Narrow"/>
          <w:sz w:val="18"/>
          <w:szCs w:val="18"/>
        </w:rPr>
        <w:t xml:space="preserve"> INEE, </w:t>
      </w:r>
      <w:r w:rsidRPr="00DB2110">
        <w:rPr>
          <w:rFonts w:ascii="Arial Narrow" w:hAnsi="Arial Narrow"/>
          <w:i/>
          <w:sz w:val="18"/>
          <w:szCs w:val="18"/>
        </w:rPr>
        <w:t xml:space="preserve">Panorama Educativo de México 2017, </w:t>
      </w:r>
      <w:r w:rsidRPr="00DB2110">
        <w:rPr>
          <w:rFonts w:ascii="Arial Narrow" w:hAnsi="Arial Narrow"/>
          <w:sz w:val="18"/>
          <w:szCs w:val="18"/>
        </w:rPr>
        <w:t xml:space="preserve">p. 249, </w:t>
      </w:r>
      <w:hyperlink r:id="rId6" w:history="1">
        <w:r w:rsidRPr="00DB2110">
          <w:rPr>
            <w:rStyle w:val="Hipervnculo"/>
            <w:rFonts w:ascii="Arial Narrow" w:hAnsi="Arial Narrow"/>
            <w:sz w:val="18"/>
            <w:szCs w:val="18"/>
          </w:rPr>
          <w:t>http://publicaciones.inee.edu.mx/buscadorPub/P1/B/116/P1B116.pdf</w:t>
        </w:r>
      </w:hyperlink>
      <w:r>
        <w:t xml:space="preserve"> </w:t>
      </w:r>
    </w:p>
  </w:endnote>
  <w:endnote w:id="9">
    <w:p w:rsidR="004C757E" w:rsidRPr="00490EF5" w:rsidRDefault="004C757E" w:rsidP="00B65045">
      <w:pPr>
        <w:pStyle w:val="Textonotaalfinal"/>
        <w:jc w:val="both"/>
        <w:rPr>
          <w:rFonts w:ascii="Arial Narrow" w:hAnsi="Arial Narrow"/>
          <w:sz w:val="18"/>
          <w:szCs w:val="18"/>
        </w:rPr>
      </w:pPr>
      <w:r w:rsidRPr="00490EF5">
        <w:rPr>
          <w:rStyle w:val="Refdenotaalfinal"/>
          <w:rFonts w:ascii="Arial Narrow" w:hAnsi="Arial Narrow"/>
          <w:sz w:val="18"/>
          <w:szCs w:val="18"/>
        </w:rPr>
        <w:endnoteRef/>
      </w:r>
      <w:r w:rsidRPr="00490EF5">
        <w:rPr>
          <w:rFonts w:ascii="Arial Narrow" w:hAnsi="Arial Narrow"/>
          <w:sz w:val="18"/>
          <w:szCs w:val="18"/>
        </w:rPr>
        <w:t xml:space="preserve"> CONEVAL, </w:t>
      </w:r>
      <w:r w:rsidRPr="00490EF5">
        <w:rPr>
          <w:rFonts w:ascii="Arial Narrow" w:hAnsi="Arial Narrow"/>
          <w:i/>
          <w:sz w:val="18"/>
          <w:szCs w:val="18"/>
        </w:rPr>
        <w:t>Evaluación estratégica de protección social en México</w:t>
      </w:r>
      <w:r w:rsidRPr="00490EF5">
        <w:rPr>
          <w:rFonts w:ascii="Arial Narrow" w:hAnsi="Arial Narrow"/>
          <w:sz w:val="18"/>
          <w:szCs w:val="18"/>
        </w:rPr>
        <w:t>, segunda edición, 2018, p. 61. Éstas pensiones están ligadas a una relación laboral y, dependiendo de su tipo, son financiadas con contribuciones tripartitas (trabajador, empleador y Estado) o sólo por el Estado (en su carácter de empleador). Por su parte, las pensiones no contributivas no están ligadas al trabajo, son financiadas en su totalidad con gasto público y otorgadas como un programa social, ya sea federal o estatal.</w:t>
      </w:r>
    </w:p>
  </w:endnote>
  <w:endnote w:id="10">
    <w:p w:rsidR="004C757E" w:rsidRPr="00490EF5" w:rsidRDefault="004C757E" w:rsidP="00B65045">
      <w:pPr>
        <w:pStyle w:val="Textonotaalfinal"/>
        <w:jc w:val="both"/>
        <w:rPr>
          <w:rFonts w:ascii="Arial Narrow" w:hAnsi="Arial Narrow"/>
          <w:sz w:val="18"/>
          <w:szCs w:val="18"/>
        </w:rPr>
      </w:pPr>
      <w:r w:rsidRPr="00490EF5">
        <w:rPr>
          <w:rStyle w:val="Refdenotaalfinal"/>
          <w:rFonts w:ascii="Arial Narrow" w:hAnsi="Arial Narrow"/>
          <w:sz w:val="18"/>
          <w:szCs w:val="18"/>
        </w:rPr>
        <w:endnoteRef/>
      </w:r>
      <w:r w:rsidRPr="00490EF5">
        <w:rPr>
          <w:rFonts w:ascii="Arial Narrow" w:hAnsi="Arial Narrow"/>
          <w:sz w:val="18"/>
          <w:szCs w:val="18"/>
        </w:rPr>
        <w:t xml:space="preserve"> “Los beneficiarios de una pensión contributiva reciben, en promedio, un monto mensual de $5,128 en el caso de las mujeres y $6,602 en hombres. Los beneficiarios de una pensión no contributiva reciben, aproximadamente, $600 (hombres y mujeres)” Fuente, CONSAR, Ingresos y gastos del adulto mayor en México, 2018, p. 3, </w:t>
      </w:r>
      <w:hyperlink r:id="rId7" w:history="1">
        <w:r w:rsidRPr="00490EF5">
          <w:rPr>
            <w:rStyle w:val="Hipervnculo"/>
            <w:rFonts w:ascii="Arial Narrow" w:hAnsi="Arial Narrow"/>
            <w:sz w:val="18"/>
            <w:szCs w:val="18"/>
          </w:rPr>
          <w:t>https://www.gob.mx/cms/uploads/attachment/file/387784/Ingresos_y_gastos_del_adulto_mayor_en_Me_xico_vf-07092018_BUENA.pdf</w:t>
        </w:r>
      </w:hyperlink>
      <w:r w:rsidRPr="00490EF5">
        <w:rPr>
          <w:rFonts w:ascii="Arial Narrow" w:hAnsi="Arial Narrow"/>
          <w:sz w:val="18"/>
          <w:szCs w:val="18"/>
        </w:rPr>
        <w:t xml:space="preserve"> </w:t>
      </w:r>
    </w:p>
  </w:endnote>
  <w:endnote w:id="11">
    <w:p w:rsidR="004C757E" w:rsidRPr="00490EF5" w:rsidRDefault="004C757E" w:rsidP="00B65045">
      <w:pPr>
        <w:pStyle w:val="Textonotaalfinal"/>
        <w:jc w:val="both"/>
        <w:rPr>
          <w:rFonts w:ascii="Arial Narrow" w:hAnsi="Arial Narrow"/>
          <w:sz w:val="18"/>
          <w:szCs w:val="18"/>
        </w:rPr>
      </w:pPr>
      <w:r w:rsidRPr="00490EF5">
        <w:rPr>
          <w:rStyle w:val="Refdenotaalfinal"/>
          <w:rFonts w:ascii="Arial Narrow" w:hAnsi="Arial Narrow"/>
          <w:sz w:val="18"/>
          <w:szCs w:val="18"/>
        </w:rPr>
        <w:endnoteRef/>
      </w:r>
      <w:r w:rsidRPr="00490EF5">
        <w:rPr>
          <w:rFonts w:ascii="Arial Narrow" w:hAnsi="Arial Narrow"/>
          <w:sz w:val="18"/>
          <w:szCs w:val="18"/>
        </w:rPr>
        <w:t xml:space="preserve"> Actualmente Secretaría del Bienestar.</w:t>
      </w:r>
    </w:p>
  </w:endnote>
  <w:endnote w:id="12">
    <w:p w:rsidR="004C757E" w:rsidRPr="00490EF5" w:rsidRDefault="004C757E" w:rsidP="00B65045">
      <w:pPr>
        <w:pStyle w:val="Textonotaalfinal"/>
        <w:jc w:val="both"/>
        <w:rPr>
          <w:rFonts w:ascii="Arial Narrow" w:hAnsi="Arial Narrow"/>
          <w:sz w:val="18"/>
          <w:szCs w:val="18"/>
        </w:rPr>
      </w:pPr>
      <w:r w:rsidRPr="00490EF5">
        <w:rPr>
          <w:rStyle w:val="Refdenotaalfinal"/>
          <w:rFonts w:ascii="Arial Narrow" w:hAnsi="Arial Narrow"/>
          <w:sz w:val="18"/>
          <w:szCs w:val="18"/>
        </w:rPr>
        <w:endnoteRef/>
      </w:r>
      <w:r w:rsidRPr="00490EF5">
        <w:rPr>
          <w:rFonts w:ascii="Arial Narrow" w:hAnsi="Arial Narrow"/>
          <w:sz w:val="18"/>
          <w:szCs w:val="18"/>
        </w:rPr>
        <w:t xml:space="preserve"> </w:t>
      </w:r>
      <w:hyperlink r:id="rId8" w:history="1">
        <w:r w:rsidRPr="00490EF5">
          <w:rPr>
            <w:rStyle w:val="Hipervnculo"/>
            <w:rFonts w:ascii="Arial Narrow" w:hAnsi="Arial Narrow"/>
            <w:sz w:val="18"/>
            <w:szCs w:val="18"/>
          </w:rPr>
          <w:t>https://www.gob.mx/tramites/ficha/incorporacion-al-programa-pension-para-adultos-mayores/BIENESTAR61</w:t>
        </w:r>
      </w:hyperlink>
      <w:r w:rsidRPr="00490EF5">
        <w:rPr>
          <w:rFonts w:ascii="Arial Narrow" w:hAnsi="Arial Narrow"/>
          <w:sz w:val="18"/>
          <w:szCs w:val="18"/>
        </w:rPr>
        <w:t xml:space="preserve"> </w:t>
      </w:r>
    </w:p>
  </w:endnote>
  <w:endnote w:id="13">
    <w:p w:rsidR="004C757E" w:rsidRPr="00490EF5" w:rsidRDefault="004C757E" w:rsidP="00B65045">
      <w:pPr>
        <w:pStyle w:val="Textonotaalfinal"/>
        <w:jc w:val="both"/>
        <w:rPr>
          <w:rFonts w:ascii="Arial Narrow" w:hAnsi="Arial Narrow"/>
          <w:i/>
          <w:sz w:val="18"/>
          <w:szCs w:val="18"/>
        </w:rPr>
      </w:pPr>
      <w:r w:rsidRPr="00490EF5">
        <w:rPr>
          <w:rStyle w:val="Refdenotaalfinal"/>
          <w:rFonts w:ascii="Arial Narrow" w:hAnsi="Arial Narrow"/>
          <w:sz w:val="18"/>
          <w:szCs w:val="18"/>
        </w:rPr>
        <w:endnoteRef/>
      </w:r>
      <w:r w:rsidRPr="00490EF5">
        <w:rPr>
          <w:rFonts w:ascii="Arial Narrow" w:hAnsi="Arial Narrow"/>
          <w:sz w:val="18"/>
          <w:szCs w:val="18"/>
        </w:rPr>
        <w:t xml:space="preserve"> CONEVAL, </w:t>
      </w:r>
      <w:r w:rsidRPr="00490EF5">
        <w:rPr>
          <w:rFonts w:ascii="Arial Narrow" w:hAnsi="Arial Narrow"/>
          <w:i/>
          <w:sz w:val="18"/>
          <w:szCs w:val="18"/>
        </w:rPr>
        <w:t xml:space="preserve">Op. Cit., p. </w:t>
      </w:r>
    </w:p>
  </w:endnote>
  <w:endnote w:id="14">
    <w:p w:rsidR="004C757E" w:rsidRPr="00490EF5" w:rsidRDefault="004C757E" w:rsidP="00B65045">
      <w:pPr>
        <w:pStyle w:val="Textonotaalfinal"/>
        <w:jc w:val="both"/>
        <w:rPr>
          <w:rFonts w:ascii="Arial Narrow" w:hAnsi="Arial Narrow"/>
          <w:sz w:val="18"/>
          <w:szCs w:val="18"/>
        </w:rPr>
      </w:pPr>
      <w:r w:rsidRPr="00490EF5">
        <w:rPr>
          <w:rStyle w:val="Refdenotaalfinal"/>
          <w:rFonts w:ascii="Arial Narrow" w:hAnsi="Arial Narrow"/>
          <w:sz w:val="18"/>
          <w:szCs w:val="18"/>
        </w:rPr>
        <w:endnoteRef/>
      </w:r>
      <w:r w:rsidRPr="00490EF5">
        <w:rPr>
          <w:rFonts w:ascii="Arial Narrow" w:hAnsi="Arial Narrow"/>
          <w:sz w:val="18"/>
          <w:szCs w:val="18"/>
        </w:rPr>
        <w:t xml:space="preserve"> </w:t>
      </w:r>
      <w:r w:rsidRPr="00490EF5">
        <w:rPr>
          <w:rFonts w:ascii="Arial Narrow" w:hAnsi="Arial Narrow" w:cs="Arial"/>
          <w:i/>
          <w:sz w:val="18"/>
          <w:szCs w:val="18"/>
        </w:rPr>
        <w:t>Ibídem</w:t>
      </w:r>
      <w:r w:rsidRPr="00490EF5">
        <w:rPr>
          <w:rFonts w:ascii="Arial Narrow" w:hAnsi="Arial Narrow" w:cs="Arial"/>
          <w:sz w:val="18"/>
          <w:szCs w:val="18"/>
        </w:rPr>
        <w:t>, p. 28.</w:t>
      </w:r>
    </w:p>
  </w:endnote>
  <w:endnote w:id="15">
    <w:p w:rsidR="004C757E" w:rsidRPr="00490EF5" w:rsidRDefault="004C757E" w:rsidP="00B65045">
      <w:pPr>
        <w:pStyle w:val="Textonotaalfinal"/>
        <w:jc w:val="both"/>
        <w:rPr>
          <w:rFonts w:ascii="Arial Narrow" w:hAnsi="Arial Narrow"/>
          <w:sz w:val="18"/>
          <w:szCs w:val="18"/>
        </w:rPr>
      </w:pPr>
      <w:r w:rsidRPr="00490EF5">
        <w:rPr>
          <w:rStyle w:val="Refdenotaalfinal"/>
          <w:rFonts w:ascii="Arial Narrow" w:hAnsi="Arial Narrow"/>
          <w:sz w:val="18"/>
          <w:szCs w:val="18"/>
        </w:rPr>
        <w:endnoteRef/>
      </w:r>
      <w:r w:rsidRPr="00490EF5">
        <w:rPr>
          <w:rFonts w:ascii="Arial Narrow" w:hAnsi="Arial Narrow"/>
          <w:sz w:val="18"/>
          <w:szCs w:val="18"/>
        </w:rPr>
        <w:t xml:space="preserve"> </w:t>
      </w:r>
      <w:r w:rsidRPr="00490EF5">
        <w:rPr>
          <w:rFonts w:ascii="Arial Narrow" w:hAnsi="Arial Narrow" w:cs="Arial"/>
          <w:i/>
          <w:sz w:val="18"/>
          <w:szCs w:val="18"/>
        </w:rPr>
        <w:t>Ibídem</w:t>
      </w:r>
      <w:r w:rsidRPr="00490EF5">
        <w:rPr>
          <w:rFonts w:ascii="Arial Narrow" w:hAnsi="Arial Narrow" w:cs="Arial"/>
          <w:sz w:val="18"/>
          <w:szCs w:val="18"/>
        </w:rPr>
        <w:t>,</w:t>
      </w:r>
      <w:r>
        <w:rPr>
          <w:rFonts w:ascii="Arial Narrow" w:hAnsi="Arial Narrow" w:cs="Arial"/>
          <w:sz w:val="18"/>
          <w:szCs w:val="18"/>
        </w:rPr>
        <w:t xml:space="preserve"> p</w:t>
      </w:r>
      <w:r w:rsidRPr="00490EF5">
        <w:rPr>
          <w:rFonts w:ascii="Arial Narrow" w:hAnsi="Arial Narrow"/>
          <w:sz w:val="18"/>
          <w:szCs w:val="18"/>
        </w:rPr>
        <w:t>. 63.</w:t>
      </w:r>
    </w:p>
  </w:endnote>
  <w:endnote w:id="16">
    <w:p w:rsidR="004C757E" w:rsidRPr="00490EF5" w:rsidRDefault="004C757E" w:rsidP="00B65045">
      <w:pPr>
        <w:pStyle w:val="Textonotaalfinal"/>
        <w:jc w:val="both"/>
        <w:rPr>
          <w:rFonts w:ascii="Arial Narrow" w:hAnsi="Arial Narrow"/>
          <w:sz w:val="18"/>
          <w:szCs w:val="18"/>
        </w:rPr>
      </w:pPr>
      <w:r w:rsidRPr="00490EF5">
        <w:rPr>
          <w:rStyle w:val="Refdenotaalfinal"/>
          <w:rFonts w:ascii="Arial Narrow" w:hAnsi="Arial Narrow"/>
          <w:sz w:val="18"/>
          <w:szCs w:val="18"/>
        </w:rPr>
        <w:endnoteRef/>
      </w:r>
      <w:r w:rsidRPr="00490EF5">
        <w:rPr>
          <w:rFonts w:ascii="Arial Narrow" w:hAnsi="Arial Narrow"/>
          <w:sz w:val="18"/>
          <w:szCs w:val="18"/>
        </w:rPr>
        <w:t xml:space="preserve"> </w:t>
      </w:r>
      <w:r w:rsidRPr="00490EF5">
        <w:rPr>
          <w:rFonts w:ascii="Arial Narrow" w:hAnsi="Arial Narrow" w:cs="Arial"/>
          <w:i/>
          <w:sz w:val="18"/>
          <w:szCs w:val="18"/>
        </w:rPr>
        <w:t>Ibídem</w:t>
      </w:r>
      <w:r w:rsidRPr="00490EF5">
        <w:rPr>
          <w:rFonts w:ascii="Arial Narrow" w:hAnsi="Arial Narrow" w:cs="Arial"/>
          <w:sz w:val="18"/>
          <w:szCs w:val="18"/>
        </w:rPr>
        <w:t>,</w:t>
      </w:r>
      <w:r w:rsidRPr="00490EF5">
        <w:rPr>
          <w:rFonts w:ascii="Arial Narrow" w:hAnsi="Arial Narrow"/>
          <w:i/>
          <w:sz w:val="18"/>
          <w:szCs w:val="18"/>
        </w:rPr>
        <w:t xml:space="preserve"> </w:t>
      </w:r>
      <w:r w:rsidRPr="00646CD3">
        <w:rPr>
          <w:rFonts w:ascii="Arial Narrow" w:hAnsi="Arial Narrow"/>
          <w:sz w:val="18"/>
          <w:szCs w:val="18"/>
        </w:rPr>
        <w:t>p</w:t>
      </w:r>
      <w:r w:rsidRPr="00490EF5">
        <w:rPr>
          <w:rFonts w:ascii="Arial Narrow" w:hAnsi="Arial Narrow"/>
          <w:i/>
          <w:sz w:val="18"/>
          <w:szCs w:val="18"/>
        </w:rPr>
        <w:t xml:space="preserve">. </w:t>
      </w:r>
      <w:r w:rsidRPr="00490EF5">
        <w:rPr>
          <w:rFonts w:ascii="Arial Narrow" w:hAnsi="Arial Narrow"/>
          <w:sz w:val="18"/>
          <w:szCs w:val="18"/>
        </w:rPr>
        <w:t>20.</w:t>
      </w:r>
    </w:p>
  </w:endnote>
  <w:endnote w:id="17">
    <w:p w:rsidR="004C757E" w:rsidRPr="00490EF5" w:rsidRDefault="004C757E" w:rsidP="00B65045">
      <w:pPr>
        <w:pStyle w:val="Textonotaalfinal"/>
        <w:jc w:val="both"/>
        <w:rPr>
          <w:rFonts w:ascii="Arial Narrow" w:hAnsi="Arial Narrow"/>
          <w:sz w:val="18"/>
          <w:szCs w:val="18"/>
        </w:rPr>
      </w:pPr>
      <w:r w:rsidRPr="00490EF5">
        <w:rPr>
          <w:rStyle w:val="Refdenotaalfinal"/>
          <w:rFonts w:ascii="Arial Narrow" w:hAnsi="Arial Narrow"/>
          <w:sz w:val="18"/>
          <w:szCs w:val="18"/>
        </w:rPr>
        <w:endnoteRef/>
      </w:r>
      <w:r w:rsidRPr="00490EF5">
        <w:rPr>
          <w:rFonts w:ascii="Arial Narrow" w:hAnsi="Arial Narrow"/>
          <w:sz w:val="18"/>
          <w:szCs w:val="18"/>
        </w:rPr>
        <w:t xml:space="preserve"> </w:t>
      </w:r>
      <w:r w:rsidRPr="00490EF5">
        <w:rPr>
          <w:rFonts w:ascii="Arial Narrow" w:hAnsi="Arial Narrow"/>
          <w:i/>
          <w:sz w:val="18"/>
          <w:szCs w:val="18"/>
        </w:rPr>
        <w:t xml:space="preserve">Ibídem, </w:t>
      </w:r>
      <w:r w:rsidRPr="00646CD3">
        <w:rPr>
          <w:rFonts w:ascii="Arial Narrow" w:hAnsi="Arial Narrow"/>
          <w:sz w:val="18"/>
          <w:szCs w:val="18"/>
        </w:rPr>
        <w:t>p</w:t>
      </w:r>
      <w:r w:rsidRPr="00490EF5">
        <w:rPr>
          <w:rFonts w:ascii="Arial Narrow" w:hAnsi="Arial Narrow"/>
          <w:sz w:val="18"/>
          <w:szCs w:val="18"/>
        </w:rPr>
        <w:t>. 73.</w:t>
      </w:r>
    </w:p>
  </w:endnote>
  <w:endnote w:id="18">
    <w:p w:rsidR="004C757E" w:rsidRPr="00490EF5" w:rsidRDefault="004C757E" w:rsidP="00B65045">
      <w:pPr>
        <w:pStyle w:val="Textonotaalfinal"/>
        <w:jc w:val="both"/>
        <w:rPr>
          <w:rFonts w:ascii="Arial Narrow" w:hAnsi="Arial Narrow"/>
          <w:sz w:val="18"/>
          <w:szCs w:val="18"/>
        </w:rPr>
      </w:pPr>
      <w:r w:rsidRPr="00490EF5">
        <w:rPr>
          <w:rStyle w:val="Refdenotaalfinal"/>
          <w:rFonts w:ascii="Arial Narrow" w:hAnsi="Arial Narrow"/>
          <w:sz w:val="18"/>
          <w:szCs w:val="18"/>
        </w:rPr>
        <w:endnoteRef/>
      </w:r>
      <w:r w:rsidRPr="00490EF5">
        <w:rPr>
          <w:rFonts w:ascii="Arial Narrow" w:hAnsi="Arial Narrow"/>
          <w:sz w:val="18"/>
          <w:szCs w:val="18"/>
        </w:rPr>
        <w:t xml:space="preserve"> </w:t>
      </w:r>
      <w:hyperlink r:id="rId9" w:history="1">
        <w:r w:rsidRPr="00490EF5">
          <w:rPr>
            <w:rStyle w:val="Hipervnculo"/>
            <w:rFonts w:ascii="Arial Narrow" w:hAnsi="Arial Narrow"/>
            <w:sz w:val="18"/>
            <w:szCs w:val="18"/>
          </w:rPr>
          <w:t>http://www.seguropopular.org/</w:t>
        </w:r>
      </w:hyperlink>
      <w:r w:rsidRPr="00490EF5">
        <w:rPr>
          <w:rFonts w:ascii="Arial Narrow" w:hAnsi="Arial Narrow"/>
          <w:sz w:val="18"/>
          <w:szCs w:val="18"/>
        </w:rPr>
        <w:t xml:space="preserve"> </w:t>
      </w:r>
    </w:p>
  </w:endnote>
  <w:endnote w:id="19">
    <w:p w:rsidR="004C757E" w:rsidRPr="00490EF5" w:rsidRDefault="004C757E" w:rsidP="00B65045">
      <w:pPr>
        <w:pStyle w:val="Textonotaalfinal"/>
        <w:jc w:val="both"/>
        <w:rPr>
          <w:rFonts w:ascii="Arial Narrow" w:hAnsi="Arial Narrow"/>
          <w:i/>
          <w:sz w:val="18"/>
          <w:szCs w:val="18"/>
        </w:rPr>
      </w:pPr>
      <w:r w:rsidRPr="00490EF5">
        <w:rPr>
          <w:rStyle w:val="Refdenotaalfinal"/>
          <w:rFonts w:ascii="Arial Narrow" w:hAnsi="Arial Narrow"/>
          <w:sz w:val="18"/>
          <w:szCs w:val="18"/>
        </w:rPr>
        <w:endnoteRef/>
      </w:r>
      <w:r w:rsidRPr="00490EF5">
        <w:rPr>
          <w:rFonts w:ascii="Arial Narrow" w:hAnsi="Arial Narrow"/>
          <w:sz w:val="18"/>
          <w:szCs w:val="18"/>
        </w:rPr>
        <w:t xml:space="preserve"> INEGI, </w:t>
      </w:r>
      <w:r w:rsidRPr="00490EF5">
        <w:rPr>
          <w:rFonts w:ascii="Arial Narrow" w:hAnsi="Arial Narrow"/>
          <w:i/>
          <w:sz w:val="18"/>
          <w:szCs w:val="18"/>
        </w:rPr>
        <w:t>Encuesta Intercensal 2015.</w:t>
      </w:r>
    </w:p>
  </w:endnote>
  <w:endnote w:id="20">
    <w:p w:rsidR="004C757E" w:rsidRPr="00490EF5" w:rsidRDefault="004C757E" w:rsidP="00B65045">
      <w:pPr>
        <w:pStyle w:val="Textonotaalfinal"/>
        <w:jc w:val="both"/>
        <w:rPr>
          <w:rFonts w:ascii="Arial Narrow" w:hAnsi="Arial Narrow"/>
          <w:sz w:val="18"/>
          <w:szCs w:val="18"/>
        </w:rPr>
      </w:pPr>
      <w:r w:rsidRPr="00490EF5">
        <w:rPr>
          <w:rStyle w:val="Refdenotaalfinal"/>
          <w:rFonts w:ascii="Arial Narrow" w:hAnsi="Arial Narrow"/>
          <w:sz w:val="18"/>
          <w:szCs w:val="18"/>
        </w:rPr>
        <w:endnoteRef/>
      </w:r>
      <w:r w:rsidRPr="00490EF5">
        <w:rPr>
          <w:rFonts w:ascii="Arial Narrow" w:hAnsi="Arial Narrow"/>
          <w:sz w:val="18"/>
          <w:szCs w:val="18"/>
        </w:rPr>
        <w:t xml:space="preserve"> CONEVAL, </w:t>
      </w:r>
      <w:r w:rsidRPr="00490EF5">
        <w:rPr>
          <w:rFonts w:ascii="Arial Narrow" w:hAnsi="Arial Narrow"/>
          <w:i/>
          <w:sz w:val="18"/>
          <w:szCs w:val="18"/>
        </w:rPr>
        <w:t xml:space="preserve">Op. Cit. </w:t>
      </w:r>
      <w:r w:rsidRPr="00490EF5">
        <w:rPr>
          <w:rFonts w:ascii="Arial Narrow" w:hAnsi="Arial Narrow"/>
          <w:sz w:val="18"/>
          <w:szCs w:val="18"/>
        </w:rPr>
        <w:t xml:space="preserve">p. 31. </w:t>
      </w:r>
    </w:p>
  </w:endnote>
  <w:endnote w:id="21">
    <w:p w:rsidR="004C757E" w:rsidRPr="00490EF5" w:rsidRDefault="004C757E" w:rsidP="00B65045">
      <w:pPr>
        <w:pStyle w:val="Textonotaalfinal"/>
        <w:jc w:val="both"/>
        <w:rPr>
          <w:rFonts w:ascii="Arial Narrow" w:hAnsi="Arial Narrow"/>
          <w:sz w:val="18"/>
          <w:szCs w:val="18"/>
        </w:rPr>
      </w:pPr>
      <w:r w:rsidRPr="00490EF5">
        <w:rPr>
          <w:rStyle w:val="Refdenotaalfinal"/>
          <w:rFonts w:ascii="Arial Narrow" w:hAnsi="Arial Narrow"/>
          <w:sz w:val="18"/>
          <w:szCs w:val="18"/>
        </w:rPr>
        <w:endnoteRef/>
      </w:r>
      <w:r w:rsidRPr="00490EF5">
        <w:rPr>
          <w:rFonts w:ascii="Arial Narrow" w:hAnsi="Arial Narrow"/>
          <w:sz w:val="18"/>
          <w:szCs w:val="18"/>
        </w:rPr>
        <w:t xml:space="preserve"> Secretaría de Salud, Informe sobre la Salud de los Mexicanos 2016, p. 16, </w:t>
      </w:r>
      <w:hyperlink r:id="rId10" w:history="1">
        <w:r w:rsidRPr="00490EF5">
          <w:rPr>
            <w:rStyle w:val="Hipervnculo"/>
            <w:rFonts w:ascii="Arial Narrow" w:hAnsi="Arial Narrow"/>
            <w:sz w:val="18"/>
            <w:szCs w:val="18"/>
          </w:rPr>
          <w:t>https://www.gob.mx/cms/uploads/attachment/file/239410/ISSM_2016.pdf</w:t>
        </w:r>
      </w:hyperlink>
      <w:r w:rsidRPr="00490EF5">
        <w:rPr>
          <w:rFonts w:ascii="Arial Narrow" w:hAnsi="Arial Narrow"/>
          <w:sz w:val="18"/>
          <w:szCs w:val="18"/>
        </w:rPr>
        <w:t xml:space="preserve"> </w:t>
      </w:r>
    </w:p>
  </w:endnote>
  <w:endnote w:id="22">
    <w:p w:rsidR="004C757E" w:rsidRPr="0080789D" w:rsidRDefault="004C757E" w:rsidP="00B65045">
      <w:pPr>
        <w:pStyle w:val="Textonotaalfinal"/>
        <w:jc w:val="both"/>
        <w:rPr>
          <w:rFonts w:ascii="Arial Narrow" w:hAnsi="Arial Narrow"/>
          <w:sz w:val="18"/>
          <w:szCs w:val="18"/>
        </w:rPr>
      </w:pPr>
      <w:r w:rsidRPr="0080789D">
        <w:rPr>
          <w:rStyle w:val="Refdenotaalfinal"/>
          <w:rFonts w:ascii="Arial Narrow" w:hAnsi="Arial Narrow"/>
          <w:sz w:val="18"/>
          <w:szCs w:val="18"/>
        </w:rPr>
        <w:endnoteRef/>
      </w:r>
      <w:r w:rsidRPr="0080789D">
        <w:rPr>
          <w:rFonts w:ascii="Arial Narrow" w:hAnsi="Arial Narrow"/>
          <w:sz w:val="18"/>
          <w:szCs w:val="18"/>
        </w:rPr>
        <w:t xml:space="preserve"> CNDH, p. 160-161, </w:t>
      </w:r>
      <w:hyperlink r:id="rId11" w:history="1">
        <w:r w:rsidRPr="0080789D">
          <w:rPr>
            <w:rStyle w:val="Hipervnculo"/>
            <w:rFonts w:ascii="Arial Narrow" w:hAnsi="Arial Narrow"/>
            <w:sz w:val="18"/>
            <w:szCs w:val="18"/>
          </w:rPr>
          <w:t>http://www.cndh.org.mx/sites/all/doc/Informes/Especiales/Pobreza_DH_082018.pdf</w:t>
        </w:r>
      </w:hyperlink>
      <w:r w:rsidRPr="0080789D">
        <w:rPr>
          <w:rFonts w:ascii="Arial Narrow" w:hAnsi="Arial Narrow"/>
          <w:sz w:val="18"/>
          <w:szCs w:val="18"/>
        </w:rPr>
        <w:t xml:space="preserve"> </w:t>
      </w:r>
    </w:p>
  </w:endnote>
  <w:endnote w:id="23">
    <w:p w:rsidR="004C757E" w:rsidRPr="0080789D" w:rsidRDefault="004C757E" w:rsidP="00B65045">
      <w:pPr>
        <w:pStyle w:val="Textonotaalfinal"/>
        <w:jc w:val="both"/>
        <w:rPr>
          <w:rFonts w:ascii="Arial Narrow" w:hAnsi="Arial Narrow"/>
          <w:sz w:val="18"/>
          <w:szCs w:val="18"/>
        </w:rPr>
      </w:pPr>
      <w:r w:rsidRPr="0080789D">
        <w:rPr>
          <w:rStyle w:val="Refdenotaalfinal"/>
          <w:rFonts w:ascii="Arial Narrow" w:hAnsi="Arial Narrow"/>
          <w:sz w:val="18"/>
          <w:szCs w:val="18"/>
        </w:rPr>
        <w:endnoteRef/>
      </w:r>
      <w:r w:rsidRPr="0080789D">
        <w:rPr>
          <w:rFonts w:ascii="Arial Narrow" w:hAnsi="Arial Narrow"/>
          <w:sz w:val="18"/>
          <w:szCs w:val="18"/>
        </w:rPr>
        <w:t xml:space="preserve"> </w:t>
      </w:r>
      <w:hyperlink r:id="rId12" w:history="1">
        <w:r w:rsidRPr="0080789D">
          <w:rPr>
            <w:rStyle w:val="Hipervnculo"/>
            <w:rFonts w:ascii="Arial Narrow" w:hAnsi="Arial Narrow"/>
            <w:sz w:val="18"/>
            <w:szCs w:val="18"/>
          </w:rPr>
          <w:t>http://www.cndh.org.mx/sites/all/doc/Informes/Especiales/Envejecer-dignidad-DH-24042018.pdf</w:t>
        </w:r>
      </w:hyperlink>
      <w:r w:rsidRPr="0080789D">
        <w:rPr>
          <w:rFonts w:ascii="Arial Narrow" w:hAnsi="Arial Narrow"/>
          <w:sz w:val="18"/>
          <w:szCs w:val="18"/>
        </w:rPr>
        <w:t xml:space="preserve"> </w:t>
      </w:r>
    </w:p>
  </w:endnote>
  <w:endnote w:id="24">
    <w:p w:rsidR="004C757E" w:rsidRDefault="004C757E" w:rsidP="00B65045">
      <w:pPr>
        <w:pStyle w:val="Textonotaalfinal"/>
      </w:pPr>
      <w:r w:rsidRPr="0080789D">
        <w:rPr>
          <w:rStyle w:val="Refdenotaalfinal"/>
          <w:rFonts w:ascii="Arial Narrow" w:hAnsi="Arial Narrow"/>
          <w:sz w:val="18"/>
          <w:szCs w:val="18"/>
        </w:rPr>
        <w:endnoteRef/>
      </w:r>
      <w:r w:rsidRPr="0080789D">
        <w:rPr>
          <w:rFonts w:ascii="Arial Narrow" w:hAnsi="Arial Narrow"/>
          <w:sz w:val="18"/>
          <w:szCs w:val="18"/>
        </w:rPr>
        <w:t xml:space="preserve"> </w:t>
      </w:r>
      <w:hyperlink r:id="rId13" w:history="1">
        <w:r w:rsidRPr="0080789D">
          <w:rPr>
            <w:rStyle w:val="Hipervnculo"/>
            <w:rFonts w:ascii="Arial Narrow" w:hAnsi="Arial Narrow"/>
            <w:sz w:val="18"/>
            <w:szCs w:val="18"/>
          </w:rPr>
          <w:t>https://www.gob.mx/consar/articulos/las-25-acciones-y-herramientas-de-educacion-financiera-de-la-consar?idiom=es</w:t>
        </w:r>
      </w:hyperlink>
      <w:r>
        <w:t xml:space="preserve"> </w:t>
      </w:r>
    </w:p>
  </w:endnote>
  <w:endnote w:id="25">
    <w:p w:rsidR="004C757E" w:rsidRPr="00DB0C07" w:rsidRDefault="004C757E" w:rsidP="00B65045">
      <w:pPr>
        <w:pStyle w:val="Textonotaalfinal"/>
        <w:jc w:val="both"/>
        <w:rPr>
          <w:rFonts w:ascii="Arial Narrow" w:hAnsi="Arial Narrow" w:cs="Tahoma"/>
          <w:sz w:val="18"/>
          <w:szCs w:val="18"/>
        </w:rPr>
      </w:pPr>
      <w:r w:rsidRPr="00DB0C07">
        <w:rPr>
          <w:rStyle w:val="Refdenotaalfinal"/>
          <w:rFonts w:ascii="Arial Narrow" w:hAnsi="Arial Narrow" w:cs="Tahoma"/>
          <w:sz w:val="18"/>
          <w:szCs w:val="18"/>
        </w:rPr>
        <w:endnoteRef/>
      </w:r>
      <w:r w:rsidRPr="00DB0C07">
        <w:rPr>
          <w:rFonts w:ascii="Arial Narrow" w:hAnsi="Arial Narrow" w:cs="Tahoma"/>
          <w:sz w:val="18"/>
          <w:szCs w:val="18"/>
        </w:rPr>
        <w:t xml:space="preserve"> </w:t>
      </w:r>
      <w:hyperlink r:id="rId14" w:history="1">
        <w:r w:rsidRPr="00DB0C07">
          <w:rPr>
            <w:rStyle w:val="Hipervnculo"/>
            <w:rFonts w:ascii="Arial Narrow" w:hAnsi="Arial Narrow" w:cs="Tahoma"/>
            <w:sz w:val="18"/>
            <w:szCs w:val="18"/>
          </w:rPr>
          <w:t>http://comunicacion.senado.gob.mx/index.php/informacion/boletines/42549-por-unanimidad-aprueba-senado-garantizar-derecho-de-seguridad-social-a-parejas-del-mismo-sexo.html</w:t>
        </w:r>
      </w:hyperlink>
      <w:r w:rsidRPr="00DB0C07">
        <w:rPr>
          <w:rFonts w:ascii="Arial Narrow" w:hAnsi="Arial Narrow" w:cs="Tahoma"/>
          <w:sz w:val="18"/>
          <w:szCs w:val="18"/>
        </w:rPr>
        <w:t xml:space="preserve"> </w:t>
      </w:r>
    </w:p>
  </w:endnote>
  <w:endnote w:id="26">
    <w:p w:rsidR="004C757E" w:rsidRPr="00DB0C07" w:rsidRDefault="004C757E" w:rsidP="00B65045">
      <w:pPr>
        <w:pStyle w:val="Textonotaalfinal"/>
        <w:jc w:val="both"/>
        <w:rPr>
          <w:rFonts w:ascii="Arial Narrow" w:hAnsi="Arial Narrow" w:cs="Tahoma"/>
          <w:sz w:val="18"/>
          <w:szCs w:val="18"/>
        </w:rPr>
      </w:pPr>
      <w:r w:rsidRPr="00DB0C07">
        <w:rPr>
          <w:rStyle w:val="Refdenotaalfinal"/>
          <w:rFonts w:ascii="Arial Narrow" w:hAnsi="Arial Narrow" w:cs="Tahoma"/>
          <w:sz w:val="18"/>
          <w:szCs w:val="18"/>
        </w:rPr>
        <w:endnoteRef/>
      </w:r>
      <w:r w:rsidRPr="00DB0C07">
        <w:rPr>
          <w:rFonts w:ascii="Arial Narrow" w:hAnsi="Arial Narrow" w:cs="Tahoma"/>
          <w:sz w:val="18"/>
          <w:szCs w:val="18"/>
        </w:rPr>
        <w:t xml:space="preserve"> </w:t>
      </w:r>
      <w:hyperlink r:id="rId15" w:history="1">
        <w:r w:rsidRPr="00DB0C07">
          <w:rPr>
            <w:rStyle w:val="Hipervnculo"/>
            <w:rFonts w:ascii="Arial Narrow" w:hAnsi="Arial Narrow" w:cs="Tahoma"/>
            <w:sz w:val="18"/>
            <w:szCs w:val="18"/>
          </w:rPr>
          <w:t>https://www.coneval.org.mx/Evaluacion/IEPSM/IEPSM/Documents/RESUMEN_EJECUTIVO_IEPDS2018.pdf</w:t>
        </w:r>
      </w:hyperlink>
      <w:r w:rsidRPr="00DB0C07">
        <w:rPr>
          <w:rFonts w:ascii="Arial Narrow" w:hAnsi="Arial Narrow" w:cs="Tahoma"/>
          <w:sz w:val="18"/>
          <w:szCs w:val="18"/>
        </w:rPr>
        <w:t xml:space="preserve"> </w:t>
      </w:r>
    </w:p>
  </w:endnote>
  <w:endnote w:id="27">
    <w:p w:rsidR="004C757E" w:rsidRPr="00DB0C07" w:rsidRDefault="004C757E" w:rsidP="00B65045">
      <w:pPr>
        <w:pStyle w:val="Textonotaalfinal"/>
        <w:jc w:val="both"/>
        <w:rPr>
          <w:rFonts w:ascii="Arial Narrow" w:hAnsi="Arial Narrow" w:cs="Tahoma"/>
          <w:sz w:val="18"/>
          <w:szCs w:val="18"/>
        </w:rPr>
      </w:pPr>
      <w:r w:rsidRPr="00DB0C07">
        <w:rPr>
          <w:rStyle w:val="Refdenotaalfinal"/>
          <w:rFonts w:ascii="Arial Narrow" w:hAnsi="Arial Narrow" w:cs="Tahoma"/>
          <w:sz w:val="18"/>
          <w:szCs w:val="18"/>
        </w:rPr>
        <w:endnoteRef/>
      </w:r>
      <w:r w:rsidRPr="00DB0C07">
        <w:rPr>
          <w:rFonts w:ascii="Arial Narrow" w:hAnsi="Arial Narrow" w:cs="Tahoma"/>
          <w:sz w:val="18"/>
          <w:szCs w:val="18"/>
        </w:rPr>
        <w:t xml:space="preserve"> Informe de la CNDH sobre Personas Mayores en Centros Penitenciarios, 2017, http://www.cndh.org.mx/sites/all/doc/Informes/Especiales/Adultos-Mayores-Centros.pdf ; Comisión Estatal de Derechos Humanos de Nuevo León, Diagnóstico sobre los derechos de las personas adultas mayores en el Estado de Nuevo León, 2017, </w:t>
      </w:r>
      <w:hyperlink r:id="rId16" w:history="1">
        <w:r w:rsidRPr="00DB0C07">
          <w:rPr>
            <w:rStyle w:val="Hipervnculo"/>
            <w:rFonts w:ascii="Arial Narrow" w:hAnsi="Arial Narrow" w:cs="Tahoma"/>
            <w:sz w:val="18"/>
            <w:szCs w:val="18"/>
          </w:rPr>
          <w:t>https://www.cedhnl.org.mx/bs/secciones/publicaciones/publicaciones-especiales/Diagnostico-DAMNL.pdf</w:t>
        </w:r>
      </w:hyperlink>
      <w:r w:rsidRPr="00DB0C07">
        <w:rPr>
          <w:rFonts w:ascii="Arial Narrow" w:hAnsi="Arial Narrow" w:cs="Tahoma"/>
          <w:sz w:val="18"/>
          <w:szCs w:val="18"/>
        </w:rPr>
        <w:t xml:space="preserve"> </w:t>
      </w:r>
    </w:p>
  </w:endnote>
  <w:endnote w:id="28">
    <w:p w:rsidR="004C757E" w:rsidRPr="00DB0C07" w:rsidRDefault="004C757E" w:rsidP="00B65045">
      <w:pPr>
        <w:pStyle w:val="Textonotaalfinal"/>
        <w:jc w:val="both"/>
        <w:rPr>
          <w:rFonts w:ascii="Arial Narrow" w:hAnsi="Arial Narrow" w:cs="Tahoma"/>
          <w:sz w:val="18"/>
          <w:szCs w:val="18"/>
        </w:rPr>
      </w:pPr>
      <w:r w:rsidRPr="00DB0C07">
        <w:rPr>
          <w:rStyle w:val="Refdenotaalfinal"/>
          <w:rFonts w:ascii="Arial Narrow" w:hAnsi="Arial Narrow" w:cs="Tahoma"/>
          <w:sz w:val="18"/>
          <w:szCs w:val="18"/>
        </w:rPr>
        <w:endnoteRef/>
      </w:r>
      <w:r w:rsidRPr="00DB0C07">
        <w:rPr>
          <w:rFonts w:ascii="Arial Narrow" w:hAnsi="Arial Narrow" w:cs="Tahoma"/>
          <w:sz w:val="18"/>
          <w:szCs w:val="18"/>
        </w:rPr>
        <w:t xml:space="preserve"> </w:t>
      </w:r>
      <w:hyperlink r:id="rId17" w:history="1">
        <w:r w:rsidRPr="00DB0C07">
          <w:rPr>
            <w:rStyle w:val="Hipervnculo"/>
            <w:rFonts w:ascii="Arial Narrow" w:hAnsi="Arial Narrow" w:cs="Tahoma"/>
            <w:sz w:val="18"/>
            <w:szCs w:val="18"/>
          </w:rPr>
          <w:t>https://repositorio.cepal.org/bitstream/handle/11362/43253/1/S1800036_es.pdf</w:t>
        </w:r>
      </w:hyperlink>
      <w:r w:rsidRPr="00DB0C07">
        <w:rPr>
          <w:rFonts w:ascii="Arial Narrow" w:hAnsi="Arial Narrow" w:cs="Tahoma"/>
          <w:sz w:val="18"/>
          <w:szCs w:val="18"/>
        </w:rPr>
        <w:t xml:space="preserve"> </w:t>
      </w:r>
    </w:p>
  </w:endnote>
  <w:endnote w:id="29">
    <w:p w:rsidR="004C757E" w:rsidRDefault="004C757E" w:rsidP="00A86EDE">
      <w:pPr>
        <w:pStyle w:val="Textonotaalfinal"/>
        <w:jc w:val="both"/>
      </w:pPr>
      <w:r w:rsidRPr="00DB0C07">
        <w:rPr>
          <w:rStyle w:val="Refdenotaalfinal"/>
          <w:rFonts w:ascii="Arial Narrow" w:hAnsi="Arial Narrow" w:cs="Tahoma"/>
          <w:sz w:val="18"/>
          <w:szCs w:val="18"/>
        </w:rPr>
        <w:endnoteRef/>
      </w:r>
      <w:r>
        <w:rPr>
          <w:rFonts w:ascii="Arial Narrow" w:hAnsi="Arial Narrow" w:cs="Tahoma"/>
          <w:sz w:val="18"/>
          <w:szCs w:val="18"/>
        </w:rPr>
        <w:t xml:space="preserve"> En febrero de 2017 </w:t>
      </w:r>
      <w:r w:rsidRPr="00DB0C07">
        <w:rPr>
          <w:rFonts w:ascii="Arial Narrow" w:hAnsi="Arial Narrow" w:cs="Tahoma"/>
          <w:sz w:val="18"/>
          <w:szCs w:val="18"/>
        </w:rPr>
        <w:t>se a</w:t>
      </w:r>
      <w:r>
        <w:rPr>
          <w:rFonts w:ascii="Arial Narrow" w:hAnsi="Arial Narrow" w:cs="Tahoma"/>
          <w:sz w:val="18"/>
          <w:szCs w:val="18"/>
        </w:rPr>
        <w:t xml:space="preserve">probó una reforma a los artículos </w:t>
      </w:r>
      <w:r w:rsidRPr="00A86EDE">
        <w:rPr>
          <w:rFonts w:ascii="Arial Narrow" w:hAnsi="Arial Narrow" w:cs="Tahoma"/>
          <w:sz w:val="18"/>
          <w:szCs w:val="18"/>
        </w:rPr>
        <w:t>107 y 123</w:t>
      </w:r>
      <w:r>
        <w:rPr>
          <w:rFonts w:ascii="Arial Narrow" w:hAnsi="Arial Narrow" w:cs="Tahoma"/>
          <w:sz w:val="18"/>
          <w:szCs w:val="18"/>
        </w:rPr>
        <w:t xml:space="preserve"> de la CPEUM mediante la cual se establece que los conflictos entre el sector laboral y patronal se substanciarán en Tribunales Laborales adscritos al Poder Judicial de la Federación o de las entidades federativas, que sustituirán a las Juntas de Conciliación y Arbitraje, cuya naturaleza es administrativa, </w:t>
      </w:r>
      <w:hyperlink r:id="rId18" w:history="1">
        <w:r w:rsidRPr="003F67FE">
          <w:rPr>
            <w:rStyle w:val="Hipervnculo"/>
            <w:rFonts w:ascii="Arial Narrow" w:hAnsi="Arial Narrow" w:cs="Tahoma"/>
            <w:sz w:val="18"/>
            <w:szCs w:val="18"/>
          </w:rPr>
          <w:t>http://dof.gob.mx/nota_detalle.php?codigo=5472965&amp;fecha=24/02/2017</w:t>
        </w:r>
      </w:hyperlink>
      <w:r>
        <w:rPr>
          <w:rFonts w:ascii="Arial Narrow" w:hAnsi="Arial Narrow" w:cs="Tahoma"/>
          <w:sz w:val="18"/>
          <w:szCs w:val="18"/>
        </w:rPr>
        <w:t xml:space="preserve">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8414"/>
      <w:docPartObj>
        <w:docPartGallery w:val="Page Numbers (Bottom of Page)"/>
        <w:docPartUnique/>
      </w:docPartObj>
    </w:sdtPr>
    <w:sdtEndPr/>
    <w:sdtContent>
      <w:p w:rsidR="008F046D" w:rsidRDefault="00EB36F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6EA" w:rsidRPr="006456EA">
          <w:rPr>
            <w:noProof/>
            <w:lang w:val="es-ES"/>
          </w:rPr>
          <w:t>1</w:t>
        </w:r>
        <w:r>
          <w:fldChar w:fldCharType="end"/>
        </w:r>
      </w:p>
    </w:sdtContent>
  </w:sdt>
  <w:p w:rsidR="008F046D" w:rsidRDefault="00D510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06C" w:rsidRDefault="00D5106C" w:rsidP="00B65045">
      <w:pPr>
        <w:spacing w:after="0" w:line="240" w:lineRule="auto"/>
      </w:pPr>
      <w:r>
        <w:separator/>
      </w:r>
    </w:p>
  </w:footnote>
  <w:footnote w:type="continuationSeparator" w:id="0">
    <w:p w:rsidR="00D5106C" w:rsidRDefault="00D5106C" w:rsidP="00B65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2673"/>
    <w:multiLevelType w:val="hybridMultilevel"/>
    <w:tmpl w:val="DB74A7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D44B5"/>
    <w:multiLevelType w:val="hybridMultilevel"/>
    <w:tmpl w:val="D66A41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45"/>
    <w:rsid w:val="000E7E18"/>
    <w:rsid w:val="0024163A"/>
    <w:rsid w:val="002866A4"/>
    <w:rsid w:val="002D2804"/>
    <w:rsid w:val="00376BAF"/>
    <w:rsid w:val="00377461"/>
    <w:rsid w:val="00386637"/>
    <w:rsid w:val="00453701"/>
    <w:rsid w:val="004C757E"/>
    <w:rsid w:val="00545477"/>
    <w:rsid w:val="00575FCD"/>
    <w:rsid w:val="005E3E47"/>
    <w:rsid w:val="006456EA"/>
    <w:rsid w:val="00646CD3"/>
    <w:rsid w:val="006670BA"/>
    <w:rsid w:val="006F7BAB"/>
    <w:rsid w:val="007F6780"/>
    <w:rsid w:val="0080789D"/>
    <w:rsid w:val="00812EE5"/>
    <w:rsid w:val="008416B6"/>
    <w:rsid w:val="008A1239"/>
    <w:rsid w:val="00943872"/>
    <w:rsid w:val="00945225"/>
    <w:rsid w:val="00956CE8"/>
    <w:rsid w:val="009628EB"/>
    <w:rsid w:val="00972344"/>
    <w:rsid w:val="009C5FD8"/>
    <w:rsid w:val="009D272C"/>
    <w:rsid w:val="009F557C"/>
    <w:rsid w:val="00A54164"/>
    <w:rsid w:val="00A8278B"/>
    <w:rsid w:val="00A86EDE"/>
    <w:rsid w:val="00AA4472"/>
    <w:rsid w:val="00AB4AB2"/>
    <w:rsid w:val="00AE413A"/>
    <w:rsid w:val="00B337FA"/>
    <w:rsid w:val="00B3605F"/>
    <w:rsid w:val="00B65045"/>
    <w:rsid w:val="00BB63FB"/>
    <w:rsid w:val="00BF1DBB"/>
    <w:rsid w:val="00C174ED"/>
    <w:rsid w:val="00C545E5"/>
    <w:rsid w:val="00C87BFA"/>
    <w:rsid w:val="00CB3B50"/>
    <w:rsid w:val="00CD7258"/>
    <w:rsid w:val="00D01E42"/>
    <w:rsid w:val="00D50A72"/>
    <w:rsid w:val="00D5106C"/>
    <w:rsid w:val="00D90B63"/>
    <w:rsid w:val="00DB0C07"/>
    <w:rsid w:val="00DB2110"/>
    <w:rsid w:val="00E133DC"/>
    <w:rsid w:val="00E47FE4"/>
    <w:rsid w:val="00E60F80"/>
    <w:rsid w:val="00E636B8"/>
    <w:rsid w:val="00E660A5"/>
    <w:rsid w:val="00E73E9C"/>
    <w:rsid w:val="00E74FC4"/>
    <w:rsid w:val="00EB36FF"/>
    <w:rsid w:val="00ED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C5A60-A36D-4574-B785-3B2678D1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6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504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B6504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6504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qFormat/>
    <w:rsid w:val="00B6504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65045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B650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045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60F8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60F8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60F80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646C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os.gob.mx/busca/dataset?q=inea&amp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ta.inegi.org.mx/temas/educacion/" TargetMode="Externa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tramites/ficha/incorporacion-al-programa-pension-para-adultos-mayores/BIENESTAR61" TargetMode="External"/><Relationship Id="rId13" Type="http://schemas.openxmlformats.org/officeDocument/2006/relationships/hyperlink" Target="https://www.gob.mx/consar/articulos/las-25-acciones-y-herramientas-de-educacion-financiera-de-la-consar?idiom=es" TargetMode="External"/><Relationship Id="rId18" Type="http://schemas.openxmlformats.org/officeDocument/2006/relationships/hyperlink" Target="http://dof.gob.mx/nota_detalle.php?codigo=5472965&amp;fecha=24/02/2017" TargetMode="External"/><Relationship Id="rId3" Type="http://schemas.openxmlformats.org/officeDocument/2006/relationships/hyperlink" Target="https://www.gob.mx/inapam/prensa/desarrollan-inea-e-inapam-modelo-educativo-para-adultos-mayores?idiom=es" TargetMode="External"/><Relationship Id="rId7" Type="http://schemas.openxmlformats.org/officeDocument/2006/relationships/hyperlink" Target="https://www.gob.mx/cms/uploads/attachment/file/387784/Ingresos_y_gastos_del_adulto_mayor_en_Me_xico_vf-07092018_BUENA.pdf" TargetMode="External"/><Relationship Id="rId12" Type="http://schemas.openxmlformats.org/officeDocument/2006/relationships/hyperlink" Target="http://www.cndh.org.mx/sites/all/doc/Informes/Especiales/Envejecer-dignidad-DH-24042018.pdf" TargetMode="External"/><Relationship Id="rId17" Type="http://schemas.openxmlformats.org/officeDocument/2006/relationships/hyperlink" Target="https://repositorio.cepal.org/bitstream/handle/11362/43253/1/S1800036_es.pdf" TargetMode="External"/><Relationship Id="rId2" Type="http://schemas.openxmlformats.org/officeDocument/2006/relationships/hyperlink" Target="http://www.cursosinea.conevyt.org.mx/recursos/promo_mevyt/Con_frames/principal.html" TargetMode="External"/><Relationship Id="rId16" Type="http://schemas.openxmlformats.org/officeDocument/2006/relationships/hyperlink" Target="https://www.cedhnl.org.mx/bs/secciones/publicaciones/publicaciones-especiales/Diagnostico-DAMNL.pdf" TargetMode="External"/><Relationship Id="rId1" Type="http://schemas.openxmlformats.org/officeDocument/2006/relationships/hyperlink" Target="https://www.gob.mx/inea/que-hacemos" TargetMode="External"/><Relationship Id="rId6" Type="http://schemas.openxmlformats.org/officeDocument/2006/relationships/hyperlink" Target="http://publicaciones.inee.edu.mx/buscadorPub/P1/B/116/P1B116.pdf" TargetMode="External"/><Relationship Id="rId11" Type="http://schemas.openxmlformats.org/officeDocument/2006/relationships/hyperlink" Target="http://www.cndh.org.mx/sites/all/doc/Informes/Especiales/Pobreza_DH_082018.pdf" TargetMode="External"/><Relationship Id="rId5" Type="http://schemas.openxmlformats.org/officeDocument/2006/relationships/hyperlink" Target="http://www.beta.inegi.org.mx/programas/enadis/2017/" TargetMode="External"/><Relationship Id="rId15" Type="http://schemas.openxmlformats.org/officeDocument/2006/relationships/hyperlink" Target="https://www.coneval.org.mx/Evaluacion/IEPSM/IEPSM/Documents/RESUMEN_EJECUTIVO_IEPDS2018.pdf" TargetMode="External"/><Relationship Id="rId10" Type="http://schemas.openxmlformats.org/officeDocument/2006/relationships/hyperlink" Target="https://www.gob.mx/cms/uploads/attachment/file/239410/ISSM_2016.pdf" TargetMode="External"/><Relationship Id="rId4" Type="http://schemas.openxmlformats.org/officeDocument/2006/relationships/hyperlink" Target="https://www.gob.mx/cms/uploads/attachment/file/147769/Manual_PEC__1_.pdf" TargetMode="External"/><Relationship Id="rId9" Type="http://schemas.openxmlformats.org/officeDocument/2006/relationships/hyperlink" Target="http://www.seguropopular.org/" TargetMode="External"/><Relationship Id="rId14" Type="http://schemas.openxmlformats.org/officeDocument/2006/relationships/hyperlink" Target="http://comunicacion.senado.gob.mx/index.php/informacion/boletines/42549-por-unanimidad-aprueba-senado-garantizar-derecho-de-seguridad-social-a-parejas-del-mismo-sex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BE6B7-899E-481E-BC13-4BF99C58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2799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Comisión Nacional de los Derechos Humanos México</Company>
  <LinksUpToDate>false</LinksUpToDate>
  <CharactersWithSpaces>18161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Cinthya Téllez Girón</dc:creator>
  <cp:keywords/>
  <dc:description/>
  <cp:lastModifiedBy>Maria Teresa Moreno Gonzalez</cp:lastModifiedBy>
  <cp:revision>2</cp:revision>
  <dcterms:created xsi:type="dcterms:W3CDTF">2019-02-16T00:36:00Z</dcterms:created>
  <dcterms:modified xsi:type="dcterms:W3CDTF">2019-02-16T00:36:00Z</dcterms:modified>
</cp:coreProperties>
</file>